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18" w:rsidRDefault="00143718" w:rsidP="000B55EE">
      <w:pPr>
        <w:contextualSpacing/>
        <w:jc w:val="center"/>
      </w:pPr>
    </w:p>
    <w:p w:rsidR="00143718" w:rsidRDefault="00143718" w:rsidP="00143718">
      <w:pPr>
        <w:contextualSpacing/>
        <w:jc w:val="center"/>
      </w:pPr>
      <w:r>
        <w:t>Christian Traditions in the Contemporary Middle East</w:t>
      </w:r>
      <w:r w:rsidR="00211989">
        <w:t>: A Bibliographic</w:t>
      </w:r>
      <w:r w:rsidR="00F9501A">
        <w:t xml:space="preserve"> Essay</w:t>
      </w:r>
    </w:p>
    <w:p w:rsidR="008A2695" w:rsidRDefault="008A2695" w:rsidP="000B55EE">
      <w:pPr>
        <w:contextualSpacing/>
        <w:jc w:val="center"/>
      </w:pPr>
    </w:p>
    <w:p w:rsidR="008A2695" w:rsidRDefault="008A2695" w:rsidP="000B55EE">
      <w:pPr>
        <w:contextualSpacing/>
        <w:jc w:val="center"/>
      </w:pPr>
    </w:p>
    <w:p w:rsidR="008A2695" w:rsidRDefault="008A2695" w:rsidP="000B55EE">
      <w:pPr>
        <w:contextualSpacing/>
        <w:jc w:val="center"/>
      </w:pPr>
    </w:p>
    <w:p w:rsidR="00143718" w:rsidRDefault="00143718" w:rsidP="000B55EE">
      <w:pPr>
        <w:contextualSpacing/>
        <w:jc w:val="center"/>
      </w:pPr>
    </w:p>
    <w:p w:rsidR="00143718" w:rsidRDefault="00143718" w:rsidP="000B55EE">
      <w:pPr>
        <w:contextualSpacing/>
        <w:jc w:val="center"/>
      </w:pPr>
    </w:p>
    <w:p w:rsidR="008A2695" w:rsidRDefault="00143718" w:rsidP="000B55EE">
      <w:pPr>
        <w:contextualSpacing/>
        <w:jc w:val="center"/>
      </w:pPr>
      <w:r>
        <w:t>Matthew Baker</w:t>
      </w:r>
      <w:r w:rsidR="00D64D96">
        <w:t>, M.Div</w:t>
      </w:r>
      <w:r w:rsidR="0029665D">
        <w:t>.</w:t>
      </w:r>
      <w:r w:rsidR="00D64D96">
        <w:t>, M.S.</w:t>
      </w:r>
    </w:p>
    <w:p w:rsidR="008A2695" w:rsidRDefault="008A2695" w:rsidP="008A2695">
      <w:pPr>
        <w:contextualSpacing/>
        <w:jc w:val="center"/>
      </w:pPr>
      <w:r>
        <w:t xml:space="preserve">Collection Services Librarian </w:t>
      </w:r>
    </w:p>
    <w:p w:rsidR="00143718" w:rsidRDefault="00143718" w:rsidP="008A2695">
      <w:pPr>
        <w:contextualSpacing/>
        <w:jc w:val="center"/>
      </w:pPr>
      <w:r>
        <w:t>The Burke Theological Library at Union Theological Seminary</w:t>
      </w:r>
    </w:p>
    <w:p w:rsidR="00143718" w:rsidRDefault="00143718" w:rsidP="008A2695">
      <w:pPr>
        <w:contextualSpacing/>
        <w:jc w:val="center"/>
      </w:pPr>
      <w:r>
        <w:t>Columbia University</w:t>
      </w:r>
    </w:p>
    <w:p w:rsidR="00143718" w:rsidRDefault="00F9501A" w:rsidP="008A2695">
      <w:pPr>
        <w:contextualSpacing/>
        <w:jc w:val="center"/>
      </w:pPr>
      <w:r>
        <w:rPr>
          <w:rStyle w:val="sbtext"/>
        </w:rPr>
        <w:t>3041 Broadway at 121st Street</w:t>
      </w:r>
      <w:r>
        <w:br/>
      </w:r>
      <w:r>
        <w:rPr>
          <w:rStyle w:val="sbtext"/>
        </w:rPr>
        <w:t>New York, NY 10027</w:t>
      </w:r>
    </w:p>
    <w:p w:rsidR="00143718" w:rsidRDefault="00AA4630" w:rsidP="000B55EE">
      <w:pPr>
        <w:contextualSpacing/>
        <w:jc w:val="center"/>
      </w:pPr>
      <w:hyperlink r:id="rId7" w:history="1">
        <w:r w:rsidR="00143718" w:rsidRPr="00CE60D8">
          <w:rPr>
            <w:rStyle w:val="Hyperlink"/>
          </w:rPr>
          <w:t>mcb2212@columbia.edu</w:t>
        </w:r>
      </w:hyperlink>
    </w:p>
    <w:p w:rsidR="00143718" w:rsidRDefault="00143718"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211989" w:rsidRDefault="00211989" w:rsidP="000B55EE">
      <w:pPr>
        <w:contextualSpacing/>
        <w:jc w:val="center"/>
      </w:pPr>
    </w:p>
    <w:p w:rsidR="00143718" w:rsidRDefault="00143718" w:rsidP="000B55EE">
      <w:pPr>
        <w:contextualSpacing/>
        <w:jc w:val="center"/>
      </w:pPr>
    </w:p>
    <w:p w:rsidR="00143718" w:rsidRDefault="00143718" w:rsidP="000B55EE">
      <w:pPr>
        <w:contextualSpacing/>
        <w:jc w:val="center"/>
      </w:pPr>
    </w:p>
    <w:p w:rsidR="00143718" w:rsidRDefault="00143718" w:rsidP="000B55EE">
      <w:pPr>
        <w:contextualSpacing/>
        <w:jc w:val="center"/>
      </w:pPr>
    </w:p>
    <w:p w:rsidR="004E6E49" w:rsidRDefault="004E6E49" w:rsidP="000B55EE">
      <w:pPr>
        <w:contextualSpacing/>
        <w:jc w:val="center"/>
      </w:pPr>
    </w:p>
    <w:p w:rsidR="004E6E49" w:rsidRDefault="004E6E49" w:rsidP="000B55EE">
      <w:pPr>
        <w:contextualSpacing/>
        <w:jc w:val="center"/>
      </w:pPr>
    </w:p>
    <w:p w:rsidR="00143718" w:rsidRDefault="00143718" w:rsidP="000B55EE">
      <w:pPr>
        <w:contextualSpacing/>
        <w:jc w:val="center"/>
      </w:pPr>
    </w:p>
    <w:p w:rsidR="004E6E49" w:rsidRDefault="000B55EE" w:rsidP="000B55EE">
      <w:pPr>
        <w:contextualSpacing/>
        <w:jc w:val="center"/>
      </w:pPr>
      <w:r>
        <w:lastRenderedPageBreak/>
        <w:t>Christian</w:t>
      </w:r>
      <w:r w:rsidR="008E4F40">
        <w:t xml:space="preserve"> Traditions</w:t>
      </w:r>
      <w:r w:rsidR="004C3F00">
        <w:t xml:space="preserve"> in the</w:t>
      </w:r>
      <w:r>
        <w:t xml:space="preserve"> </w:t>
      </w:r>
      <w:r w:rsidR="003441FB">
        <w:t xml:space="preserve">Contemporary </w:t>
      </w:r>
      <w:r>
        <w:t>Middle East</w:t>
      </w:r>
      <w:r w:rsidR="004E6E49">
        <w:t>: A Bibliographic Essay</w:t>
      </w:r>
    </w:p>
    <w:p w:rsidR="000B55EE" w:rsidRDefault="000B55EE" w:rsidP="00D625E9">
      <w:pPr>
        <w:contextualSpacing/>
      </w:pPr>
    </w:p>
    <w:p w:rsidR="004C4442" w:rsidRDefault="001C0F28" w:rsidP="000B55EE">
      <w:pPr>
        <w:ind w:firstLine="720"/>
        <w:contextualSpacing/>
      </w:pPr>
      <w:r>
        <w:t>W</w:t>
      </w:r>
      <w:r w:rsidR="000B55EE">
        <w:t xml:space="preserve">hen </w:t>
      </w:r>
      <w:r w:rsidR="003441FB">
        <w:t>Christian communities in the Middle East receive media or scholarly attention</w:t>
      </w:r>
      <w:r>
        <w:t>,</w:t>
      </w:r>
      <w:r w:rsidR="003441FB">
        <w:t xml:space="preserve"> it is often</w:t>
      </w:r>
      <w:r w:rsidR="000B55EE">
        <w:t xml:space="preserve"> in the context of sectaria</w:t>
      </w:r>
      <w:r>
        <w:t>n conflict, as has recent</w:t>
      </w:r>
      <w:r w:rsidR="00A32175">
        <w:t>ly</w:t>
      </w:r>
      <w:r w:rsidR="003441FB">
        <w:t xml:space="preserve"> </w:t>
      </w:r>
      <w:r w:rsidR="000B55EE">
        <w:t xml:space="preserve">been the case in Iraq </w:t>
      </w:r>
      <w:r w:rsidR="003441FB">
        <w:t>and Egypt. Such conflict can indeed be</w:t>
      </w:r>
      <w:r w:rsidR="004C3F00">
        <w:t xml:space="preserve"> a</w:t>
      </w:r>
      <w:r w:rsidR="000B55EE">
        <w:t xml:space="preserve"> fact of life fo</w:t>
      </w:r>
      <w:r w:rsidR="004C3F00">
        <w:t>r many Christians in that</w:t>
      </w:r>
      <w:r>
        <w:t xml:space="preserve"> region. Much</w:t>
      </w:r>
      <w:r w:rsidR="000B55EE">
        <w:t>,</w:t>
      </w:r>
      <w:r>
        <w:t xml:space="preserve"> however,</w:t>
      </w:r>
      <w:r w:rsidR="000B55EE">
        <w:t xml:space="preserve"> is obviously missing from the portrayals of the daily news cycle</w:t>
      </w:r>
      <w:r w:rsidR="00BE5D54">
        <w:t xml:space="preserve"> and</w:t>
      </w:r>
      <w:r w:rsidR="003441FB">
        <w:t xml:space="preserve"> the frequently</w:t>
      </w:r>
      <w:r w:rsidR="00BE5D54">
        <w:t xml:space="preserve"> partisan domain</w:t>
      </w:r>
      <w:r>
        <w:t xml:space="preserve"> of the Web</w:t>
      </w:r>
      <w:r w:rsidR="000B55EE">
        <w:t>. Every Christian tradition, of course, has its historical origins in the area now most often referred to as the Middle East.</w:t>
      </w:r>
      <w:r w:rsidR="000B55EE">
        <w:rPr>
          <w:rStyle w:val="FootnoteReference"/>
        </w:rPr>
        <w:footnoteReference w:id="1"/>
      </w:r>
      <w:r w:rsidR="000B55EE">
        <w:t xml:space="preserve"> The geopolitical entities of Egypt, Jordan, Syria, Iraq, Lebanon, Israel, and the Palestini</w:t>
      </w:r>
      <w:r w:rsidR="009A2F5D">
        <w:t>an territories – most fairly</w:t>
      </w:r>
      <w:r w:rsidR="000B55EE">
        <w:t xml:space="preserve"> recent in their present form – remain home t</w:t>
      </w:r>
      <w:r>
        <w:t>o a number of Christian communities</w:t>
      </w:r>
      <w:r w:rsidR="000B55EE">
        <w:t>, many of which have existed continuously since the faith’s earliest centuries. Although they c</w:t>
      </w:r>
      <w:r w:rsidR="009A2F5D">
        <w:t>urrently constitute a relatively</w:t>
      </w:r>
      <w:r w:rsidR="000B55EE">
        <w:t xml:space="preserve"> small percentage of the total population, Christians have long played a significant role in the cultural, political, economic, and religious life of the</w:t>
      </w:r>
      <w:r>
        <w:t>ir</w:t>
      </w:r>
      <w:r w:rsidR="000B55EE">
        <w:t xml:space="preserve"> </w:t>
      </w:r>
      <w:r>
        <w:t>homelands</w:t>
      </w:r>
      <w:r w:rsidR="000B55EE">
        <w:t>. The present e</w:t>
      </w:r>
      <w:r w:rsidR="00AA71E8">
        <w:t>ssay will draw attention</w:t>
      </w:r>
      <w:r w:rsidR="00BE5D54">
        <w:t xml:space="preserve"> to</w:t>
      </w:r>
      <w:r w:rsidR="000B55EE">
        <w:t xml:space="preserve"> </w:t>
      </w:r>
      <w:r w:rsidR="00AA71E8">
        <w:t>English language works</w:t>
      </w:r>
      <w:r w:rsidR="000B55EE">
        <w:t xml:space="preserve"> that attempt to convey a full</w:t>
      </w:r>
      <w:r w:rsidR="004C3F00">
        <w:t xml:space="preserve">er, richer sense of the contemporary </w:t>
      </w:r>
      <w:r w:rsidR="000B55EE">
        <w:t xml:space="preserve">circumstances of the Middle Eastern Churches. </w:t>
      </w:r>
    </w:p>
    <w:p w:rsidR="000B55EE" w:rsidRDefault="000B55EE" w:rsidP="000B55EE">
      <w:pPr>
        <w:ind w:firstLine="720"/>
        <w:contextualSpacing/>
      </w:pPr>
      <w:r>
        <w:t>Christian communities have experienced the full force of some the past century’s most disruptive crises: the genocide and mass deportation that accompanied the failure and dismemberment of the Ottoman Empire; the formation of the State of Israel and the subsequent Arab-Israeli conflicts; the Lebanese Civil War; the Iran-Iraq War; the Gulf War of 1991; and, since 2003, the continuing conflicts prec</w:t>
      </w:r>
      <w:r w:rsidR="001C0F28">
        <w:t>ipitated by the U.S.</w:t>
      </w:r>
      <w:r>
        <w:t>-led invasion an</w:t>
      </w:r>
      <w:r w:rsidR="004C4442">
        <w:t>d occupation of Iraq. Given such</w:t>
      </w:r>
      <w:r>
        <w:t xml:space="preserve"> </w:t>
      </w:r>
      <w:r w:rsidR="001C0F28">
        <w:t xml:space="preserve">vicissitudes, it </w:t>
      </w:r>
      <w:r w:rsidR="003420D9">
        <w:t>is not surprising</w:t>
      </w:r>
      <w:r w:rsidR="001C0F28">
        <w:t xml:space="preserve"> that their recent history has </w:t>
      </w:r>
      <w:r w:rsidR="00751A12">
        <w:t xml:space="preserve">also </w:t>
      </w:r>
      <w:r w:rsidR="001C0F28">
        <w:t>been characterized by demographic decline. The most common, though by no means only,</w:t>
      </w:r>
      <w:r>
        <w:t xml:space="preserve"> causes for this decline are the high rate of emigration, often prompted by economic and religious</w:t>
      </w:r>
      <w:r w:rsidR="004C3F00">
        <w:t xml:space="preserve"> hardship, and a low birth rate</w:t>
      </w:r>
      <w:r w:rsidR="003420D9">
        <w:t xml:space="preserve"> relative to other groups – </w:t>
      </w:r>
      <w:r w:rsidR="004C3F00">
        <w:t>trends</w:t>
      </w:r>
      <w:r w:rsidR="003420D9">
        <w:t xml:space="preserve"> that</w:t>
      </w:r>
      <w:r w:rsidR="004C3F00">
        <w:t xml:space="preserve"> continue to the present day.</w:t>
      </w:r>
    </w:p>
    <w:p w:rsidR="009A5729" w:rsidRDefault="000B55EE" w:rsidP="000B55EE">
      <w:pPr>
        <w:ind w:firstLine="720"/>
        <w:contextualSpacing/>
      </w:pPr>
      <w:r>
        <w:t>Accurate demographic information about Middle E</w:t>
      </w:r>
      <w:r w:rsidR="001C0F28">
        <w:t xml:space="preserve">astern Churches is difficult to establish, and many states do </w:t>
      </w:r>
      <w:r w:rsidR="004C3F00">
        <w:t xml:space="preserve">not </w:t>
      </w:r>
      <w:r w:rsidR="002259F9">
        <w:t>maintain o</w:t>
      </w:r>
      <w:r w:rsidR="004C3F00">
        <w:t>fficial statistics on religious affiliation</w:t>
      </w:r>
      <w:r>
        <w:t xml:space="preserve">. The </w:t>
      </w:r>
      <w:r>
        <w:rPr>
          <w:i/>
        </w:rPr>
        <w:t>Atlas of Global Christianity</w:t>
      </w:r>
      <w:r w:rsidR="00A11599">
        <w:rPr>
          <w:i/>
        </w:rPr>
        <w:t xml:space="preserve"> </w:t>
      </w:r>
      <w:r w:rsidR="00A11599">
        <w:t>(Edinburgh: Edinburgh University Press, 2009)</w:t>
      </w:r>
      <w:r>
        <w:rPr>
          <w:i/>
        </w:rPr>
        <w:t xml:space="preserve"> </w:t>
      </w:r>
      <w:r>
        <w:t>puts the Christian population of region at around 6% of the total, down from around 25% in 1910.</w:t>
      </w:r>
      <w:r w:rsidR="002259F9">
        <w:rPr>
          <w:rStyle w:val="FootnoteReference"/>
        </w:rPr>
        <w:footnoteReference w:id="2"/>
      </w:r>
      <w:r>
        <w:t xml:space="preserve"> </w:t>
      </w:r>
      <w:r w:rsidR="006D3F4D">
        <w:t xml:space="preserve">One </w:t>
      </w:r>
      <w:r>
        <w:t xml:space="preserve">reliable estimate finds more than half of indigenous Middle Eastern </w:t>
      </w:r>
      <w:r w:rsidR="003420D9">
        <w:t>Christians now reside</w:t>
      </w:r>
      <w:r>
        <w:t xml:space="preserve"> outside the region, mainly in the </w:t>
      </w:r>
      <w:r w:rsidR="009A5729">
        <w:t>Americas, Europe, and Australia.</w:t>
      </w:r>
      <w:r w:rsidR="009A5729">
        <w:rPr>
          <w:rStyle w:val="FootnoteReference"/>
        </w:rPr>
        <w:footnoteReference w:id="3"/>
      </w:r>
    </w:p>
    <w:p w:rsidR="006D3F4D" w:rsidRDefault="0062429B" w:rsidP="000B55EE">
      <w:pPr>
        <w:ind w:firstLine="720"/>
        <w:contextualSpacing/>
      </w:pPr>
      <w:r>
        <w:lastRenderedPageBreak/>
        <w:t xml:space="preserve"> </w:t>
      </w:r>
    </w:p>
    <w:p w:rsidR="000B55EE" w:rsidRDefault="000B55EE" w:rsidP="006D3F4D">
      <w:pPr>
        <w:ind w:firstLine="720"/>
        <w:contextualSpacing/>
      </w:pPr>
      <w:r>
        <w:t xml:space="preserve">Keeping the </w:t>
      </w:r>
      <w:r w:rsidR="006D3F4D">
        <w:t xml:space="preserve">basic facts about the </w:t>
      </w:r>
      <w:r>
        <w:t xml:space="preserve">various Middle Eastern Churches straight can be </w:t>
      </w:r>
      <w:r w:rsidR="001326BE">
        <w:t xml:space="preserve">a </w:t>
      </w:r>
      <w:r>
        <w:t>challenge for those primarily familiar wit</w:t>
      </w:r>
      <w:r w:rsidR="006D3F4D">
        <w:t>h European and American</w:t>
      </w:r>
      <w:r>
        <w:t xml:space="preserve"> </w:t>
      </w:r>
      <w:r w:rsidR="006D3F4D">
        <w:t xml:space="preserve">forms of </w:t>
      </w:r>
      <w:r>
        <w:t>Christian tradition. The most common taxonomies organize the Churches into five main groups</w:t>
      </w:r>
      <w:r w:rsidR="006D3F4D">
        <w:t>, or “families”</w:t>
      </w:r>
      <w:r>
        <w:t>: Oriental Orthodox,</w:t>
      </w:r>
      <w:r w:rsidR="006D3F4D">
        <w:t xml:space="preserve"> The</w:t>
      </w:r>
      <w:r>
        <w:t xml:space="preserve"> Church of the East, Eastern (Greek) Orthodox, Roman Catholic, and Protestant. The first three groups constitute the vast majority of the Christian population in the region. The Roman Catholic pre</w:t>
      </w:r>
      <w:r w:rsidR="006603B1">
        <w:t>sence dates as far back as the F</w:t>
      </w:r>
      <w:r w:rsidR="009A5729">
        <w:t xml:space="preserve">irst Crusade. </w:t>
      </w:r>
      <w:r>
        <w:t>Protestantism</w:t>
      </w:r>
      <w:r w:rsidR="009A5729">
        <w:t xml:space="preserve"> has its Middle Eastern origins </w:t>
      </w:r>
      <w:r>
        <w:t>as a result of 19</w:t>
      </w:r>
      <w:r w:rsidRPr="003D03C3">
        <w:rPr>
          <w:vertAlign w:val="superscript"/>
        </w:rPr>
        <w:t>th</w:t>
      </w:r>
      <w:r w:rsidR="009A5729">
        <w:t xml:space="preserve"> century missionary activities, </w:t>
      </w:r>
      <w:r w:rsidR="009A5729">
        <w:t>with Roman Catholic communities receiving a boost during the same period</w:t>
      </w:r>
      <w:r w:rsidR="009A5729">
        <w:t>.</w:t>
      </w:r>
    </w:p>
    <w:p w:rsidR="006D3F4D" w:rsidRDefault="000D3338" w:rsidP="000B55EE">
      <w:pPr>
        <w:ind w:firstLine="720"/>
        <w:contextualSpacing/>
      </w:pPr>
      <w:r>
        <w:t>The various Church traditions</w:t>
      </w:r>
      <w:r w:rsidR="000B55EE">
        <w:t xml:space="preserve"> are distinguished by theological, liturgical, and institutional differences. In theological terms, the key distinction among them derives from their responses to the Christological pronouncements of the Councils of Ephesus (431) and Chalcedon (451). The last three groups above, for example, accepted the </w:t>
      </w:r>
      <w:proofErr w:type="spellStart"/>
      <w:r w:rsidR="000B55EE">
        <w:t>Chalcedonian</w:t>
      </w:r>
      <w:proofErr w:type="spellEnd"/>
      <w:r w:rsidR="006D3F4D">
        <w:t xml:space="preserve"> Definition, which the Oriental Orthodox and Church of the East rejected</w:t>
      </w:r>
      <w:r w:rsidR="000B55EE">
        <w:t xml:space="preserve"> as hereti</w:t>
      </w:r>
      <w:r w:rsidR="009A5729">
        <w:t xml:space="preserve">cal, </w:t>
      </w:r>
      <w:r w:rsidR="00751A12">
        <w:t xml:space="preserve">supporting a </w:t>
      </w:r>
      <w:proofErr w:type="spellStart"/>
      <w:r w:rsidR="00751A12">
        <w:t>miaphysite</w:t>
      </w:r>
      <w:proofErr w:type="spellEnd"/>
      <w:r w:rsidR="00751A12">
        <w:t xml:space="preserve"> and </w:t>
      </w:r>
      <w:proofErr w:type="spellStart"/>
      <w:r w:rsidR="000B55EE">
        <w:t>di</w:t>
      </w:r>
      <w:r w:rsidR="009A5729">
        <w:t>aphysite</w:t>
      </w:r>
      <w:proofErr w:type="spellEnd"/>
      <w:r w:rsidR="009A5729">
        <w:t xml:space="preserve"> position, respectively</w:t>
      </w:r>
      <w:r w:rsidR="000B55EE">
        <w:t>. There have recently been a number of attempts made to reconcile and re-establish official relationship</w:t>
      </w:r>
      <w:r w:rsidR="006D3F4D">
        <w:t xml:space="preserve">s between the various churches, </w:t>
      </w:r>
      <w:r w:rsidR="001326BE">
        <w:t xml:space="preserve">however, </w:t>
      </w:r>
      <w:r w:rsidR="006D3F4D">
        <w:t xml:space="preserve">and ecumenism </w:t>
      </w:r>
      <w:r>
        <w:t xml:space="preserve">has </w:t>
      </w:r>
      <w:r w:rsidR="006D3F4D">
        <w:t>been an</w:t>
      </w:r>
      <w:r>
        <w:t xml:space="preserve"> important</w:t>
      </w:r>
      <w:r w:rsidR="006D3F4D">
        <w:t xml:space="preserve"> emphasis of these Churches in the post-WWII period.</w:t>
      </w:r>
      <w:r w:rsidR="000B55EE">
        <w:t xml:space="preserve"> </w:t>
      </w:r>
    </w:p>
    <w:p w:rsidR="000B55EE" w:rsidRDefault="000B55EE" w:rsidP="000B55EE">
      <w:pPr>
        <w:ind w:firstLine="720"/>
        <w:contextualSpacing/>
      </w:pPr>
      <w:r>
        <w:t xml:space="preserve">Other differences stem from the liturgical languages and rites. The former include </w:t>
      </w:r>
      <w:proofErr w:type="spellStart"/>
      <w:r>
        <w:t>Syriac</w:t>
      </w:r>
      <w:proofErr w:type="spellEnd"/>
      <w:r>
        <w:t>, Coptic, Armenian, and Arabic – or, often, Arabic in combination with one of these others. Institutionally, some</w:t>
      </w:r>
      <w:r w:rsidR="00DF645C">
        <w:t xml:space="preserve"> groups</w:t>
      </w:r>
      <w:r>
        <w:t xml:space="preserve">, such as the Syrian Catholic Church and the </w:t>
      </w:r>
      <w:proofErr w:type="spellStart"/>
      <w:r>
        <w:t>Maronite</w:t>
      </w:r>
      <w:proofErr w:type="spellEnd"/>
      <w:r>
        <w:t xml:space="preserve"> Church, are in communion with Rome, while other</w:t>
      </w:r>
      <w:r w:rsidR="00DF645C">
        <w:t>s</w:t>
      </w:r>
      <w:r>
        <w:t xml:space="preserve"> are autocephalous. A further complexity is </w:t>
      </w:r>
      <w:r w:rsidR="009A5729">
        <w:t>added by the fact that church polities</w:t>
      </w:r>
      <w:r w:rsidR="008178ED">
        <w:t xml:space="preserve"> – with the exception of the Coptic Orthodox Church, whose members are overwhelmingly located in Egypt – </w:t>
      </w:r>
      <w:r w:rsidR="00417BE8">
        <w:t xml:space="preserve">do not correspond </w:t>
      </w:r>
      <w:r w:rsidR="00B908EA">
        <w:t>to</w:t>
      </w:r>
      <w:r w:rsidR="0096369D">
        <w:t xml:space="preserve"> current national boundaries</w:t>
      </w:r>
      <w:r w:rsidR="0031003E">
        <w:t>,</w:t>
      </w:r>
      <w:r w:rsidR="0096369D">
        <w:t xml:space="preserve"> an</w:t>
      </w:r>
      <w:r w:rsidR="0031003E">
        <w:t>d</w:t>
      </w:r>
      <w:r w:rsidR="0096369D">
        <w:t xml:space="preserve"> t</w:t>
      </w:r>
      <w:r>
        <w:t xml:space="preserve">here are </w:t>
      </w:r>
      <w:r w:rsidR="00DF645C">
        <w:t xml:space="preserve">often </w:t>
      </w:r>
      <w:r>
        <w:t xml:space="preserve">at least some members of every community in each </w:t>
      </w:r>
      <w:r w:rsidR="00B908EA">
        <w:t xml:space="preserve">Middle Eastern </w:t>
      </w:r>
      <w:r>
        <w:t>country. For the purpose of establishing a basic frame</w:t>
      </w:r>
      <w:r w:rsidR="0096369D">
        <w:t>work</w:t>
      </w:r>
      <w:r w:rsidR="008178ED">
        <w:t xml:space="preserve"> for discussing the first three families above, the following</w:t>
      </w:r>
      <w:r w:rsidR="009A5729">
        <w:t xml:space="preserve"> table, which excludes Roman Catholic and the various Protestant denominations, may be helpful</w:t>
      </w:r>
      <w:r w:rsidR="008E0F31">
        <w:t>:</w:t>
      </w:r>
      <w:r w:rsidR="008E0F31">
        <w:rPr>
          <w:rStyle w:val="FootnoteReference"/>
        </w:rPr>
        <w:footnoteReference w:id="4"/>
      </w:r>
      <w:r>
        <w:t xml:space="preserve"> </w:t>
      </w:r>
    </w:p>
    <w:p w:rsidR="000B55EE" w:rsidRDefault="000B55EE" w:rsidP="000B55EE">
      <w:pPr>
        <w:ind w:firstLine="720"/>
        <w:contextualSpacing/>
      </w:pPr>
    </w:p>
    <w:tbl>
      <w:tblPr>
        <w:tblStyle w:val="TableGrid"/>
        <w:tblW w:w="0" w:type="auto"/>
        <w:tblLook w:val="00A0" w:firstRow="1" w:lastRow="0" w:firstColumn="1" w:lastColumn="0" w:noHBand="0" w:noVBand="0"/>
      </w:tblPr>
      <w:tblGrid>
        <w:gridCol w:w="2257"/>
        <w:gridCol w:w="1855"/>
        <w:gridCol w:w="2369"/>
        <w:gridCol w:w="2375"/>
      </w:tblGrid>
      <w:tr w:rsidR="008E0F31" w:rsidRPr="001326BE">
        <w:tc>
          <w:tcPr>
            <w:tcW w:w="2257" w:type="dxa"/>
            <w:shd w:val="clear" w:color="auto" w:fill="B3B3B3"/>
          </w:tcPr>
          <w:p w:rsidR="008E0F31" w:rsidRPr="001326BE" w:rsidRDefault="008E0F31" w:rsidP="008E0F31">
            <w:pPr>
              <w:contextualSpacing/>
              <w:jc w:val="center"/>
              <w:rPr>
                <w:sz w:val="16"/>
              </w:rPr>
            </w:pPr>
            <w:r w:rsidRPr="001326BE">
              <w:rPr>
                <w:sz w:val="16"/>
              </w:rPr>
              <w:t>Church</w:t>
            </w:r>
          </w:p>
        </w:tc>
        <w:tc>
          <w:tcPr>
            <w:tcW w:w="1855" w:type="dxa"/>
            <w:shd w:val="clear" w:color="auto" w:fill="B3B3B3"/>
          </w:tcPr>
          <w:p w:rsidR="008E0F31" w:rsidRPr="001326BE" w:rsidRDefault="00910DBD" w:rsidP="008E0F31">
            <w:pPr>
              <w:contextualSpacing/>
              <w:jc w:val="center"/>
              <w:rPr>
                <w:sz w:val="16"/>
              </w:rPr>
            </w:pPr>
            <w:r w:rsidRPr="001326BE">
              <w:rPr>
                <w:sz w:val="16"/>
              </w:rPr>
              <w:t xml:space="preserve">Approximate </w:t>
            </w:r>
            <w:r w:rsidR="008E0F31" w:rsidRPr="001326BE">
              <w:rPr>
                <w:sz w:val="16"/>
              </w:rPr>
              <w:t>Numbers in the Middle East</w:t>
            </w:r>
          </w:p>
        </w:tc>
        <w:tc>
          <w:tcPr>
            <w:tcW w:w="2369" w:type="dxa"/>
            <w:shd w:val="clear" w:color="auto" w:fill="B3B3B3"/>
          </w:tcPr>
          <w:p w:rsidR="008E0F31" w:rsidRPr="001326BE" w:rsidRDefault="008E0F31" w:rsidP="008E0F31">
            <w:pPr>
              <w:contextualSpacing/>
              <w:jc w:val="center"/>
              <w:rPr>
                <w:sz w:val="16"/>
              </w:rPr>
            </w:pPr>
            <w:r w:rsidRPr="001326BE">
              <w:rPr>
                <w:sz w:val="16"/>
              </w:rPr>
              <w:t>Geographical Distribution in Middle East</w:t>
            </w:r>
          </w:p>
        </w:tc>
        <w:tc>
          <w:tcPr>
            <w:tcW w:w="2375" w:type="dxa"/>
            <w:shd w:val="clear" w:color="auto" w:fill="B3B3B3"/>
          </w:tcPr>
          <w:p w:rsidR="008E0F31" w:rsidRPr="001326BE" w:rsidRDefault="00FD3C4C" w:rsidP="008E0F31">
            <w:pPr>
              <w:contextualSpacing/>
              <w:jc w:val="center"/>
              <w:rPr>
                <w:sz w:val="16"/>
              </w:rPr>
            </w:pPr>
            <w:r w:rsidRPr="001326BE">
              <w:rPr>
                <w:sz w:val="16"/>
              </w:rPr>
              <w:t>Ecclesial</w:t>
            </w:r>
            <w:r w:rsidR="008E0F31" w:rsidRPr="001326BE">
              <w:rPr>
                <w:sz w:val="16"/>
              </w:rPr>
              <w:t xml:space="preserve"> Center</w:t>
            </w:r>
            <w:r w:rsidR="004D5CA5" w:rsidRPr="001326BE">
              <w:rPr>
                <w:sz w:val="16"/>
              </w:rPr>
              <w:t>s</w:t>
            </w:r>
          </w:p>
        </w:tc>
      </w:tr>
      <w:tr w:rsidR="008E0F31" w:rsidRPr="001326BE">
        <w:tc>
          <w:tcPr>
            <w:tcW w:w="2257" w:type="dxa"/>
          </w:tcPr>
          <w:p w:rsidR="008E0F31" w:rsidRPr="001326BE" w:rsidRDefault="008E0F31" w:rsidP="001B4C2D">
            <w:pPr>
              <w:contextualSpacing/>
              <w:rPr>
                <w:sz w:val="16"/>
              </w:rPr>
            </w:pPr>
            <w:r w:rsidRPr="001326BE">
              <w:rPr>
                <w:sz w:val="16"/>
              </w:rPr>
              <w:t>Syrian Orthodox (</w:t>
            </w:r>
            <w:proofErr w:type="spellStart"/>
            <w:r w:rsidRPr="001326BE">
              <w:rPr>
                <w:sz w:val="16"/>
              </w:rPr>
              <w:t>Jacobite</w:t>
            </w:r>
            <w:proofErr w:type="spellEnd"/>
            <w:r w:rsidRPr="001326BE">
              <w:rPr>
                <w:sz w:val="16"/>
              </w:rPr>
              <w:t>)</w:t>
            </w:r>
          </w:p>
        </w:tc>
        <w:tc>
          <w:tcPr>
            <w:tcW w:w="1855" w:type="dxa"/>
          </w:tcPr>
          <w:p w:rsidR="008E0F31" w:rsidRPr="001326BE" w:rsidRDefault="008E0F31" w:rsidP="001B4C2D">
            <w:pPr>
              <w:contextualSpacing/>
              <w:rPr>
                <w:sz w:val="16"/>
              </w:rPr>
            </w:pPr>
            <w:r w:rsidRPr="001326BE">
              <w:rPr>
                <w:sz w:val="16"/>
              </w:rPr>
              <w:t>146,300</w:t>
            </w:r>
          </w:p>
        </w:tc>
        <w:tc>
          <w:tcPr>
            <w:tcW w:w="2369" w:type="dxa"/>
          </w:tcPr>
          <w:p w:rsidR="008E0F31" w:rsidRPr="001326BE" w:rsidRDefault="00FD3C4C" w:rsidP="001B4C2D">
            <w:pPr>
              <w:contextualSpacing/>
              <w:rPr>
                <w:sz w:val="16"/>
              </w:rPr>
            </w:pPr>
            <w:r w:rsidRPr="001326BE">
              <w:rPr>
                <w:sz w:val="16"/>
              </w:rPr>
              <w:t>Syria</w:t>
            </w:r>
            <w:r w:rsidR="008E0F31" w:rsidRPr="001326BE">
              <w:rPr>
                <w:sz w:val="16"/>
              </w:rPr>
              <w:t>, Iraq, Lebanon, Palestine, Jordan</w:t>
            </w:r>
          </w:p>
        </w:tc>
        <w:tc>
          <w:tcPr>
            <w:tcW w:w="2375" w:type="dxa"/>
          </w:tcPr>
          <w:p w:rsidR="008E0F31" w:rsidRPr="001326BE" w:rsidRDefault="008E0F31" w:rsidP="001B4C2D">
            <w:pPr>
              <w:contextualSpacing/>
              <w:rPr>
                <w:sz w:val="16"/>
              </w:rPr>
            </w:pPr>
            <w:r w:rsidRPr="001326BE">
              <w:rPr>
                <w:sz w:val="16"/>
              </w:rPr>
              <w:t>Damascus</w:t>
            </w:r>
          </w:p>
        </w:tc>
      </w:tr>
      <w:tr w:rsidR="008E0F31" w:rsidRPr="001326BE">
        <w:tc>
          <w:tcPr>
            <w:tcW w:w="2257" w:type="dxa"/>
          </w:tcPr>
          <w:p w:rsidR="008E0F31" w:rsidRPr="001326BE" w:rsidRDefault="008E0F31" w:rsidP="001B4C2D">
            <w:pPr>
              <w:contextualSpacing/>
              <w:rPr>
                <w:sz w:val="16"/>
              </w:rPr>
            </w:pPr>
            <w:r w:rsidRPr="001326BE">
              <w:rPr>
                <w:sz w:val="16"/>
              </w:rPr>
              <w:t>Church of the East (Assyrian</w:t>
            </w:r>
            <w:r w:rsidR="00C0758B" w:rsidRPr="001326BE">
              <w:rPr>
                <w:sz w:val="16"/>
              </w:rPr>
              <w:t>, Nestorian</w:t>
            </w:r>
            <w:r w:rsidRPr="001326BE">
              <w:rPr>
                <w:sz w:val="16"/>
              </w:rPr>
              <w:t>)</w:t>
            </w:r>
          </w:p>
        </w:tc>
        <w:tc>
          <w:tcPr>
            <w:tcW w:w="1855" w:type="dxa"/>
          </w:tcPr>
          <w:p w:rsidR="008E0F31" w:rsidRPr="001326BE" w:rsidRDefault="008E0F31" w:rsidP="001B4C2D">
            <w:pPr>
              <w:contextualSpacing/>
              <w:rPr>
                <w:sz w:val="16"/>
              </w:rPr>
            </w:pPr>
            <w:r w:rsidRPr="001326BE">
              <w:rPr>
                <w:sz w:val="16"/>
              </w:rPr>
              <w:t>110,300</w:t>
            </w:r>
          </w:p>
        </w:tc>
        <w:tc>
          <w:tcPr>
            <w:tcW w:w="2369" w:type="dxa"/>
          </w:tcPr>
          <w:p w:rsidR="008E0F31" w:rsidRPr="001326BE" w:rsidRDefault="00FD3C4C" w:rsidP="001B4C2D">
            <w:pPr>
              <w:contextualSpacing/>
              <w:rPr>
                <w:sz w:val="16"/>
              </w:rPr>
            </w:pPr>
            <w:r w:rsidRPr="001326BE">
              <w:rPr>
                <w:sz w:val="16"/>
              </w:rPr>
              <w:t>Iraq, Syria, Lebanon</w:t>
            </w:r>
          </w:p>
        </w:tc>
        <w:tc>
          <w:tcPr>
            <w:tcW w:w="2375" w:type="dxa"/>
          </w:tcPr>
          <w:p w:rsidR="008E0F31" w:rsidRPr="001326BE" w:rsidRDefault="00744A3E" w:rsidP="00744A3E">
            <w:pPr>
              <w:contextualSpacing/>
              <w:rPr>
                <w:sz w:val="16"/>
              </w:rPr>
            </w:pPr>
            <w:r>
              <w:rPr>
                <w:sz w:val="16"/>
              </w:rPr>
              <w:t>Morton Grove (U</w:t>
            </w:r>
            <w:r w:rsidR="008554D4">
              <w:rPr>
                <w:sz w:val="16"/>
              </w:rPr>
              <w:t>.</w:t>
            </w:r>
            <w:r>
              <w:rPr>
                <w:sz w:val="16"/>
              </w:rPr>
              <w:t>S</w:t>
            </w:r>
            <w:r w:rsidR="008554D4">
              <w:rPr>
                <w:sz w:val="16"/>
              </w:rPr>
              <w:t>.</w:t>
            </w:r>
            <w:r>
              <w:rPr>
                <w:sz w:val="16"/>
              </w:rPr>
              <w:t>A</w:t>
            </w:r>
            <w:r w:rsidR="008554D4">
              <w:rPr>
                <w:sz w:val="16"/>
              </w:rPr>
              <w:t>.</w:t>
            </w:r>
            <w:r>
              <w:rPr>
                <w:sz w:val="16"/>
              </w:rPr>
              <w:t>),</w:t>
            </w:r>
            <w:r w:rsidR="008E0F31" w:rsidRPr="001326BE">
              <w:rPr>
                <w:sz w:val="16"/>
              </w:rPr>
              <w:t xml:space="preserve"> Baghdad</w:t>
            </w:r>
          </w:p>
        </w:tc>
      </w:tr>
      <w:tr w:rsidR="008E0F31" w:rsidRPr="001326BE">
        <w:tc>
          <w:tcPr>
            <w:tcW w:w="2257" w:type="dxa"/>
          </w:tcPr>
          <w:p w:rsidR="008E0F31" w:rsidRPr="001326BE" w:rsidRDefault="008E0F31" w:rsidP="001B4C2D">
            <w:pPr>
              <w:contextualSpacing/>
              <w:rPr>
                <w:sz w:val="16"/>
              </w:rPr>
            </w:pPr>
            <w:r w:rsidRPr="001326BE">
              <w:rPr>
                <w:sz w:val="16"/>
              </w:rPr>
              <w:t>Armenian Apostolic</w:t>
            </w:r>
          </w:p>
        </w:tc>
        <w:tc>
          <w:tcPr>
            <w:tcW w:w="1855" w:type="dxa"/>
          </w:tcPr>
          <w:p w:rsidR="008E0F31" w:rsidRPr="001326BE" w:rsidRDefault="008E0F31" w:rsidP="001B4C2D">
            <w:pPr>
              <w:contextualSpacing/>
              <w:rPr>
                <w:sz w:val="16"/>
              </w:rPr>
            </w:pPr>
            <w:r w:rsidRPr="001326BE">
              <w:rPr>
                <w:sz w:val="16"/>
              </w:rPr>
              <w:t>348,</w:t>
            </w:r>
            <w:r w:rsidR="004D5CA5" w:rsidRPr="001326BE">
              <w:rPr>
                <w:sz w:val="16"/>
              </w:rPr>
              <w:t>700</w:t>
            </w:r>
          </w:p>
        </w:tc>
        <w:tc>
          <w:tcPr>
            <w:tcW w:w="2369" w:type="dxa"/>
          </w:tcPr>
          <w:p w:rsidR="008E0F31" w:rsidRPr="001326BE" w:rsidRDefault="004D5CA5" w:rsidP="001B4C2D">
            <w:pPr>
              <w:contextualSpacing/>
              <w:rPr>
                <w:sz w:val="16"/>
              </w:rPr>
            </w:pPr>
            <w:r w:rsidRPr="001326BE">
              <w:rPr>
                <w:sz w:val="16"/>
              </w:rPr>
              <w:t>Lebanon, Syria, Egypt, Jordan, Palestine, Israel</w:t>
            </w:r>
          </w:p>
        </w:tc>
        <w:tc>
          <w:tcPr>
            <w:tcW w:w="2375" w:type="dxa"/>
          </w:tcPr>
          <w:p w:rsidR="008E0F31" w:rsidRPr="001326BE" w:rsidRDefault="00744A3E" w:rsidP="001B4C2D">
            <w:pPr>
              <w:contextualSpacing/>
              <w:rPr>
                <w:sz w:val="16"/>
              </w:rPr>
            </w:pPr>
            <w:proofErr w:type="spellStart"/>
            <w:r>
              <w:rPr>
                <w:sz w:val="16"/>
              </w:rPr>
              <w:t>Etchmiadzin</w:t>
            </w:r>
            <w:proofErr w:type="spellEnd"/>
            <w:r>
              <w:rPr>
                <w:sz w:val="16"/>
              </w:rPr>
              <w:t xml:space="preserve"> (Armenia), Cilicia/</w:t>
            </w:r>
            <w:proofErr w:type="spellStart"/>
            <w:r>
              <w:rPr>
                <w:sz w:val="16"/>
              </w:rPr>
              <w:t>Antelias</w:t>
            </w:r>
            <w:proofErr w:type="spellEnd"/>
            <w:r>
              <w:rPr>
                <w:sz w:val="16"/>
              </w:rPr>
              <w:t xml:space="preserve"> (Lebanon), </w:t>
            </w:r>
            <w:r w:rsidR="004D5CA5" w:rsidRPr="001326BE">
              <w:rPr>
                <w:sz w:val="16"/>
              </w:rPr>
              <w:t>Jerusalem</w:t>
            </w:r>
          </w:p>
        </w:tc>
      </w:tr>
      <w:tr w:rsidR="008E0F31" w:rsidRPr="001326BE">
        <w:tc>
          <w:tcPr>
            <w:tcW w:w="2257" w:type="dxa"/>
          </w:tcPr>
          <w:p w:rsidR="008E0F31" w:rsidRPr="001326BE" w:rsidRDefault="004D5CA5" w:rsidP="001B4C2D">
            <w:pPr>
              <w:contextualSpacing/>
              <w:rPr>
                <w:sz w:val="16"/>
              </w:rPr>
            </w:pPr>
            <w:r w:rsidRPr="001326BE">
              <w:rPr>
                <w:sz w:val="16"/>
              </w:rPr>
              <w:t>Coptic Orthodox</w:t>
            </w:r>
          </w:p>
        </w:tc>
        <w:tc>
          <w:tcPr>
            <w:tcW w:w="1855" w:type="dxa"/>
          </w:tcPr>
          <w:p w:rsidR="008E0F31" w:rsidRPr="001326BE" w:rsidRDefault="004D5CA5" w:rsidP="001B4C2D">
            <w:pPr>
              <w:contextualSpacing/>
              <w:rPr>
                <w:sz w:val="16"/>
              </w:rPr>
            </w:pPr>
            <w:r w:rsidRPr="001326BE">
              <w:rPr>
                <w:sz w:val="16"/>
              </w:rPr>
              <w:t>6,000,000 (</w:t>
            </w:r>
            <w:proofErr w:type="spellStart"/>
            <w:r w:rsidRPr="001326BE">
              <w:rPr>
                <w:sz w:val="16"/>
              </w:rPr>
              <w:t>Valognes</w:t>
            </w:r>
            <w:proofErr w:type="spellEnd"/>
            <w:r w:rsidRPr="001326BE">
              <w:rPr>
                <w:sz w:val="16"/>
              </w:rPr>
              <w:t>); 1</w:t>
            </w:r>
            <w:r w:rsidR="00910DBD" w:rsidRPr="001326BE">
              <w:rPr>
                <w:sz w:val="16"/>
              </w:rPr>
              <w:t>0,</w:t>
            </w:r>
            <w:r w:rsidRPr="001326BE">
              <w:rPr>
                <w:sz w:val="16"/>
              </w:rPr>
              <w:t>293,000 (</w:t>
            </w:r>
            <w:r w:rsidRPr="001326BE">
              <w:rPr>
                <w:i/>
                <w:sz w:val="16"/>
              </w:rPr>
              <w:t xml:space="preserve">Atlas of </w:t>
            </w:r>
            <w:r w:rsidRPr="001326BE">
              <w:rPr>
                <w:i/>
                <w:sz w:val="16"/>
              </w:rPr>
              <w:lastRenderedPageBreak/>
              <w:t>Global Christianity</w:t>
            </w:r>
            <w:r w:rsidRPr="001326BE">
              <w:rPr>
                <w:sz w:val="16"/>
              </w:rPr>
              <w:t>)</w:t>
            </w:r>
          </w:p>
        </w:tc>
        <w:tc>
          <w:tcPr>
            <w:tcW w:w="2369" w:type="dxa"/>
          </w:tcPr>
          <w:p w:rsidR="008E0F31" w:rsidRPr="001326BE" w:rsidRDefault="004D5CA5" w:rsidP="001B4C2D">
            <w:pPr>
              <w:contextualSpacing/>
              <w:rPr>
                <w:sz w:val="16"/>
              </w:rPr>
            </w:pPr>
            <w:r w:rsidRPr="001326BE">
              <w:rPr>
                <w:sz w:val="16"/>
              </w:rPr>
              <w:lastRenderedPageBreak/>
              <w:t>Egypt, Palestine, Lebanon, Iraq, Jordan</w:t>
            </w:r>
          </w:p>
        </w:tc>
        <w:tc>
          <w:tcPr>
            <w:tcW w:w="2375" w:type="dxa"/>
          </w:tcPr>
          <w:p w:rsidR="008E0F31" w:rsidRPr="001326BE" w:rsidRDefault="004D5CA5" w:rsidP="001B4C2D">
            <w:pPr>
              <w:contextualSpacing/>
              <w:rPr>
                <w:sz w:val="16"/>
              </w:rPr>
            </w:pPr>
            <w:r w:rsidRPr="001326BE">
              <w:rPr>
                <w:sz w:val="16"/>
              </w:rPr>
              <w:t>Cairo</w:t>
            </w:r>
          </w:p>
        </w:tc>
      </w:tr>
      <w:tr w:rsidR="008E0F31" w:rsidRPr="001326BE">
        <w:tc>
          <w:tcPr>
            <w:tcW w:w="2257" w:type="dxa"/>
          </w:tcPr>
          <w:p w:rsidR="008E0F31" w:rsidRPr="001326BE" w:rsidRDefault="004D5CA5" w:rsidP="001B4C2D">
            <w:pPr>
              <w:contextualSpacing/>
              <w:rPr>
                <w:sz w:val="16"/>
              </w:rPr>
            </w:pPr>
            <w:r w:rsidRPr="001326BE">
              <w:rPr>
                <w:sz w:val="16"/>
              </w:rPr>
              <w:lastRenderedPageBreak/>
              <w:t xml:space="preserve">Greek Orthodox </w:t>
            </w:r>
          </w:p>
        </w:tc>
        <w:tc>
          <w:tcPr>
            <w:tcW w:w="1855" w:type="dxa"/>
          </w:tcPr>
          <w:p w:rsidR="008E0F31" w:rsidRPr="001326BE" w:rsidRDefault="00744A3E" w:rsidP="001B4C2D">
            <w:pPr>
              <w:contextualSpacing/>
              <w:rPr>
                <w:sz w:val="16"/>
              </w:rPr>
            </w:pPr>
            <w:r>
              <w:rPr>
                <w:sz w:val="16"/>
              </w:rPr>
              <w:t>959,</w:t>
            </w:r>
            <w:r w:rsidR="004D5CA5" w:rsidRPr="001326BE">
              <w:rPr>
                <w:sz w:val="16"/>
              </w:rPr>
              <w:t>100</w:t>
            </w:r>
          </w:p>
        </w:tc>
        <w:tc>
          <w:tcPr>
            <w:tcW w:w="2369" w:type="dxa"/>
          </w:tcPr>
          <w:p w:rsidR="008E0F31" w:rsidRPr="001326BE" w:rsidRDefault="004D5CA5" w:rsidP="001B4C2D">
            <w:pPr>
              <w:contextualSpacing/>
              <w:rPr>
                <w:sz w:val="16"/>
              </w:rPr>
            </w:pPr>
            <w:r w:rsidRPr="001326BE">
              <w:rPr>
                <w:sz w:val="16"/>
              </w:rPr>
              <w:t>Syria, Lebanon, Jordan, Palestine, Israel, Egypt</w:t>
            </w:r>
          </w:p>
        </w:tc>
        <w:tc>
          <w:tcPr>
            <w:tcW w:w="2375" w:type="dxa"/>
          </w:tcPr>
          <w:p w:rsidR="008E0F31" w:rsidRPr="001326BE" w:rsidRDefault="004D5CA5" w:rsidP="001B4C2D">
            <w:pPr>
              <w:contextualSpacing/>
              <w:rPr>
                <w:sz w:val="16"/>
              </w:rPr>
            </w:pPr>
            <w:r w:rsidRPr="001326BE">
              <w:rPr>
                <w:sz w:val="16"/>
              </w:rPr>
              <w:t>Alexandria, Damascus, Jerusalem, Istanbul</w:t>
            </w:r>
          </w:p>
        </w:tc>
      </w:tr>
      <w:tr w:rsidR="008E0F31" w:rsidRPr="001326BE">
        <w:tc>
          <w:tcPr>
            <w:tcW w:w="2257" w:type="dxa"/>
          </w:tcPr>
          <w:p w:rsidR="008E0F31" w:rsidRPr="001326BE" w:rsidRDefault="004D5CA5" w:rsidP="001B4C2D">
            <w:pPr>
              <w:contextualSpacing/>
              <w:rPr>
                <w:sz w:val="16"/>
              </w:rPr>
            </w:pPr>
            <w:proofErr w:type="spellStart"/>
            <w:r w:rsidRPr="001326BE">
              <w:rPr>
                <w:sz w:val="16"/>
              </w:rPr>
              <w:t>Maronite</w:t>
            </w:r>
            <w:proofErr w:type="spellEnd"/>
          </w:p>
        </w:tc>
        <w:tc>
          <w:tcPr>
            <w:tcW w:w="1855" w:type="dxa"/>
          </w:tcPr>
          <w:p w:rsidR="008E0F31" w:rsidRPr="001326BE" w:rsidRDefault="004D5CA5" w:rsidP="001B4C2D">
            <w:pPr>
              <w:contextualSpacing/>
              <w:rPr>
                <w:sz w:val="16"/>
              </w:rPr>
            </w:pPr>
            <w:r w:rsidRPr="001326BE">
              <w:rPr>
                <w:sz w:val="16"/>
              </w:rPr>
              <w:t>750,000 (</w:t>
            </w:r>
            <w:proofErr w:type="spellStart"/>
            <w:r w:rsidRPr="001326BE">
              <w:rPr>
                <w:sz w:val="16"/>
              </w:rPr>
              <w:t>Valognes</w:t>
            </w:r>
            <w:proofErr w:type="spellEnd"/>
            <w:r w:rsidRPr="001326BE">
              <w:rPr>
                <w:sz w:val="16"/>
              </w:rPr>
              <w:t>)</w:t>
            </w:r>
          </w:p>
        </w:tc>
        <w:tc>
          <w:tcPr>
            <w:tcW w:w="2369" w:type="dxa"/>
          </w:tcPr>
          <w:p w:rsidR="008E0F31" w:rsidRPr="001326BE" w:rsidRDefault="004D5CA5" w:rsidP="001B4C2D">
            <w:pPr>
              <w:contextualSpacing/>
              <w:rPr>
                <w:sz w:val="16"/>
              </w:rPr>
            </w:pPr>
            <w:r w:rsidRPr="001326BE">
              <w:rPr>
                <w:sz w:val="16"/>
              </w:rPr>
              <w:t>Lebanon, Syria, Israel, Egypt</w:t>
            </w:r>
          </w:p>
        </w:tc>
        <w:tc>
          <w:tcPr>
            <w:tcW w:w="2375" w:type="dxa"/>
          </w:tcPr>
          <w:p w:rsidR="008E0F31" w:rsidRPr="001326BE" w:rsidRDefault="004D5CA5" w:rsidP="001B4C2D">
            <w:pPr>
              <w:contextualSpacing/>
              <w:rPr>
                <w:sz w:val="16"/>
              </w:rPr>
            </w:pPr>
            <w:proofErr w:type="spellStart"/>
            <w:r w:rsidRPr="001326BE">
              <w:rPr>
                <w:sz w:val="16"/>
              </w:rPr>
              <w:t>Bkerke</w:t>
            </w:r>
            <w:proofErr w:type="spellEnd"/>
            <w:r w:rsidRPr="001326BE">
              <w:rPr>
                <w:sz w:val="16"/>
              </w:rPr>
              <w:t xml:space="preserve"> (Lebanon)</w:t>
            </w:r>
          </w:p>
        </w:tc>
      </w:tr>
      <w:tr w:rsidR="008E0F31" w:rsidRPr="001326BE">
        <w:tc>
          <w:tcPr>
            <w:tcW w:w="2257" w:type="dxa"/>
          </w:tcPr>
          <w:p w:rsidR="008E0F31" w:rsidRPr="001326BE" w:rsidRDefault="00EC121D" w:rsidP="001B4C2D">
            <w:pPr>
              <w:contextualSpacing/>
              <w:rPr>
                <w:sz w:val="16"/>
              </w:rPr>
            </w:pPr>
            <w:r w:rsidRPr="001326BE">
              <w:rPr>
                <w:sz w:val="16"/>
              </w:rPr>
              <w:t>Chaldean</w:t>
            </w:r>
          </w:p>
        </w:tc>
        <w:tc>
          <w:tcPr>
            <w:tcW w:w="1855" w:type="dxa"/>
          </w:tcPr>
          <w:p w:rsidR="008E0F31" w:rsidRPr="001326BE" w:rsidRDefault="00EC121D" w:rsidP="001B4C2D">
            <w:pPr>
              <w:contextualSpacing/>
              <w:rPr>
                <w:sz w:val="16"/>
              </w:rPr>
            </w:pPr>
            <w:r w:rsidRPr="001326BE">
              <w:rPr>
                <w:sz w:val="16"/>
              </w:rPr>
              <w:t>525,000</w:t>
            </w:r>
          </w:p>
        </w:tc>
        <w:tc>
          <w:tcPr>
            <w:tcW w:w="2369" w:type="dxa"/>
          </w:tcPr>
          <w:p w:rsidR="008E0F31" w:rsidRPr="001326BE" w:rsidRDefault="00EC121D" w:rsidP="001B4C2D">
            <w:pPr>
              <w:contextualSpacing/>
              <w:rPr>
                <w:sz w:val="16"/>
              </w:rPr>
            </w:pPr>
            <w:r w:rsidRPr="001326BE">
              <w:rPr>
                <w:sz w:val="16"/>
              </w:rPr>
              <w:t>Iraq, Syria, Lebanon</w:t>
            </w:r>
          </w:p>
        </w:tc>
        <w:tc>
          <w:tcPr>
            <w:tcW w:w="2375" w:type="dxa"/>
          </w:tcPr>
          <w:p w:rsidR="008E0F31" w:rsidRPr="001326BE" w:rsidRDefault="00EC121D" w:rsidP="001B4C2D">
            <w:pPr>
              <w:contextualSpacing/>
              <w:rPr>
                <w:sz w:val="16"/>
              </w:rPr>
            </w:pPr>
            <w:r w:rsidRPr="001326BE">
              <w:rPr>
                <w:sz w:val="16"/>
              </w:rPr>
              <w:t>Baghdad</w:t>
            </w:r>
          </w:p>
        </w:tc>
      </w:tr>
      <w:tr w:rsidR="008E0F31" w:rsidRPr="001326BE">
        <w:tc>
          <w:tcPr>
            <w:tcW w:w="2257" w:type="dxa"/>
          </w:tcPr>
          <w:p w:rsidR="008E0F31" w:rsidRPr="001326BE" w:rsidRDefault="00EC121D" w:rsidP="001B4C2D">
            <w:pPr>
              <w:contextualSpacing/>
              <w:rPr>
                <w:sz w:val="16"/>
              </w:rPr>
            </w:pPr>
            <w:r w:rsidRPr="001326BE">
              <w:rPr>
                <w:sz w:val="16"/>
              </w:rPr>
              <w:t>Syrian Catholic</w:t>
            </w:r>
          </w:p>
        </w:tc>
        <w:tc>
          <w:tcPr>
            <w:tcW w:w="1855" w:type="dxa"/>
          </w:tcPr>
          <w:p w:rsidR="008E0F31" w:rsidRPr="001326BE" w:rsidRDefault="00EC121D" w:rsidP="001B4C2D">
            <w:pPr>
              <w:contextualSpacing/>
              <w:rPr>
                <w:sz w:val="16"/>
              </w:rPr>
            </w:pPr>
            <w:r w:rsidRPr="001326BE">
              <w:rPr>
                <w:sz w:val="16"/>
              </w:rPr>
              <w:t>101,000</w:t>
            </w:r>
          </w:p>
        </w:tc>
        <w:tc>
          <w:tcPr>
            <w:tcW w:w="2369" w:type="dxa"/>
          </w:tcPr>
          <w:p w:rsidR="008E0F31" w:rsidRPr="001326BE" w:rsidRDefault="00EC121D" w:rsidP="001B4C2D">
            <w:pPr>
              <w:contextualSpacing/>
              <w:rPr>
                <w:sz w:val="16"/>
              </w:rPr>
            </w:pPr>
            <w:r w:rsidRPr="001326BE">
              <w:rPr>
                <w:sz w:val="16"/>
              </w:rPr>
              <w:t>Iraq, Lebanon, Syria, Egypt</w:t>
            </w:r>
          </w:p>
        </w:tc>
        <w:tc>
          <w:tcPr>
            <w:tcW w:w="2375" w:type="dxa"/>
          </w:tcPr>
          <w:p w:rsidR="008E0F31" w:rsidRPr="001326BE" w:rsidRDefault="00EC121D" w:rsidP="001B4C2D">
            <w:pPr>
              <w:contextualSpacing/>
              <w:rPr>
                <w:sz w:val="16"/>
              </w:rPr>
            </w:pPr>
            <w:r w:rsidRPr="001326BE">
              <w:rPr>
                <w:sz w:val="16"/>
              </w:rPr>
              <w:t>Beirut</w:t>
            </w:r>
          </w:p>
        </w:tc>
      </w:tr>
      <w:tr w:rsidR="00EC121D" w:rsidRPr="001326BE">
        <w:tc>
          <w:tcPr>
            <w:tcW w:w="2257" w:type="dxa"/>
          </w:tcPr>
          <w:p w:rsidR="00EC121D" w:rsidRPr="001326BE" w:rsidRDefault="00EC121D" w:rsidP="001B4C2D">
            <w:pPr>
              <w:contextualSpacing/>
              <w:rPr>
                <w:sz w:val="16"/>
              </w:rPr>
            </w:pPr>
            <w:r w:rsidRPr="001326BE">
              <w:rPr>
                <w:sz w:val="16"/>
              </w:rPr>
              <w:t>Armenian Catholic</w:t>
            </w:r>
          </w:p>
        </w:tc>
        <w:tc>
          <w:tcPr>
            <w:tcW w:w="1855" w:type="dxa"/>
          </w:tcPr>
          <w:p w:rsidR="00EC121D" w:rsidRPr="001326BE" w:rsidRDefault="00EC121D" w:rsidP="001B4C2D">
            <w:pPr>
              <w:contextualSpacing/>
              <w:rPr>
                <w:sz w:val="16"/>
              </w:rPr>
            </w:pPr>
            <w:r w:rsidRPr="001326BE">
              <w:rPr>
                <w:sz w:val="16"/>
              </w:rPr>
              <w:t>51,200</w:t>
            </w:r>
          </w:p>
        </w:tc>
        <w:tc>
          <w:tcPr>
            <w:tcW w:w="2369" w:type="dxa"/>
          </w:tcPr>
          <w:p w:rsidR="00EC121D" w:rsidRPr="001326BE" w:rsidRDefault="00EC121D" w:rsidP="001B4C2D">
            <w:pPr>
              <w:contextualSpacing/>
              <w:rPr>
                <w:sz w:val="16"/>
              </w:rPr>
            </w:pPr>
            <w:r w:rsidRPr="001326BE">
              <w:rPr>
                <w:sz w:val="16"/>
              </w:rPr>
              <w:t>Syria, Lebanon, Iraq</w:t>
            </w:r>
          </w:p>
        </w:tc>
        <w:tc>
          <w:tcPr>
            <w:tcW w:w="2375" w:type="dxa"/>
          </w:tcPr>
          <w:p w:rsidR="00EC121D" w:rsidRPr="001326BE" w:rsidRDefault="00AF0415" w:rsidP="001B4C2D">
            <w:pPr>
              <w:contextualSpacing/>
              <w:rPr>
                <w:sz w:val="16"/>
              </w:rPr>
            </w:pPr>
            <w:r w:rsidRPr="001326BE">
              <w:rPr>
                <w:sz w:val="16"/>
              </w:rPr>
              <w:t>Beirut</w:t>
            </w:r>
          </w:p>
        </w:tc>
      </w:tr>
      <w:tr w:rsidR="00AF0415" w:rsidRPr="001326BE">
        <w:tc>
          <w:tcPr>
            <w:tcW w:w="2257" w:type="dxa"/>
          </w:tcPr>
          <w:p w:rsidR="00AF0415" w:rsidRPr="001326BE" w:rsidRDefault="00AF0415" w:rsidP="001B4C2D">
            <w:pPr>
              <w:contextualSpacing/>
              <w:rPr>
                <w:sz w:val="16"/>
              </w:rPr>
            </w:pPr>
            <w:r w:rsidRPr="001326BE">
              <w:rPr>
                <w:sz w:val="16"/>
              </w:rPr>
              <w:t>Coptic Catholic</w:t>
            </w:r>
          </w:p>
        </w:tc>
        <w:tc>
          <w:tcPr>
            <w:tcW w:w="1855" w:type="dxa"/>
          </w:tcPr>
          <w:p w:rsidR="00AF0415" w:rsidRPr="001326BE" w:rsidRDefault="00AF0415" w:rsidP="001B4C2D">
            <w:pPr>
              <w:contextualSpacing/>
              <w:rPr>
                <w:sz w:val="16"/>
              </w:rPr>
            </w:pPr>
            <w:r w:rsidRPr="001326BE">
              <w:rPr>
                <w:sz w:val="16"/>
              </w:rPr>
              <w:t>150,000</w:t>
            </w:r>
          </w:p>
        </w:tc>
        <w:tc>
          <w:tcPr>
            <w:tcW w:w="2369" w:type="dxa"/>
          </w:tcPr>
          <w:p w:rsidR="00AF0415" w:rsidRPr="001326BE" w:rsidRDefault="00AF0415" w:rsidP="001B4C2D">
            <w:pPr>
              <w:contextualSpacing/>
              <w:rPr>
                <w:sz w:val="16"/>
              </w:rPr>
            </w:pPr>
            <w:r w:rsidRPr="001326BE">
              <w:rPr>
                <w:sz w:val="16"/>
              </w:rPr>
              <w:t>Egypt</w:t>
            </w:r>
          </w:p>
        </w:tc>
        <w:tc>
          <w:tcPr>
            <w:tcW w:w="2375" w:type="dxa"/>
          </w:tcPr>
          <w:p w:rsidR="00AF0415" w:rsidRPr="001326BE" w:rsidRDefault="00AF0415" w:rsidP="001B4C2D">
            <w:pPr>
              <w:contextualSpacing/>
              <w:rPr>
                <w:sz w:val="16"/>
              </w:rPr>
            </w:pPr>
            <w:r w:rsidRPr="001326BE">
              <w:rPr>
                <w:sz w:val="16"/>
              </w:rPr>
              <w:t>Cairo</w:t>
            </w:r>
          </w:p>
        </w:tc>
      </w:tr>
      <w:tr w:rsidR="00AF0415" w:rsidRPr="001326BE">
        <w:tc>
          <w:tcPr>
            <w:tcW w:w="2257" w:type="dxa"/>
          </w:tcPr>
          <w:p w:rsidR="00AF0415" w:rsidRPr="001326BE" w:rsidRDefault="00AF0415" w:rsidP="001B4C2D">
            <w:pPr>
              <w:contextualSpacing/>
              <w:rPr>
                <w:sz w:val="16"/>
              </w:rPr>
            </w:pPr>
            <w:proofErr w:type="spellStart"/>
            <w:r w:rsidRPr="001326BE">
              <w:rPr>
                <w:sz w:val="16"/>
              </w:rPr>
              <w:t>Melkite</w:t>
            </w:r>
            <w:proofErr w:type="spellEnd"/>
          </w:p>
        </w:tc>
        <w:tc>
          <w:tcPr>
            <w:tcW w:w="1855" w:type="dxa"/>
          </w:tcPr>
          <w:p w:rsidR="00AF0415" w:rsidRPr="001326BE" w:rsidRDefault="00AF0415" w:rsidP="001B4C2D">
            <w:pPr>
              <w:contextualSpacing/>
              <w:rPr>
                <w:sz w:val="16"/>
              </w:rPr>
            </w:pPr>
            <w:r w:rsidRPr="001326BE">
              <w:rPr>
                <w:sz w:val="16"/>
              </w:rPr>
              <w:t>442,800</w:t>
            </w:r>
          </w:p>
        </w:tc>
        <w:tc>
          <w:tcPr>
            <w:tcW w:w="2369" w:type="dxa"/>
          </w:tcPr>
          <w:p w:rsidR="00AF0415" w:rsidRPr="001326BE" w:rsidRDefault="00AF0415" w:rsidP="001B4C2D">
            <w:pPr>
              <w:contextualSpacing/>
              <w:rPr>
                <w:sz w:val="16"/>
              </w:rPr>
            </w:pPr>
            <w:r w:rsidRPr="001326BE">
              <w:rPr>
                <w:sz w:val="16"/>
              </w:rPr>
              <w:t>Lebanon, Syria, Israel, Jordan, Egypt, Palestine</w:t>
            </w:r>
          </w:p>
        </w:tc>
        <w:tc>
          <w:tcPr>
            <w:tcW w:w="2375" w:type="dxa"/>
          </w:tcPr>
          <w:p w:rsidR="00AF0415" w:rsidRPr="001326BE" w:rsidRDefault="00AF0415" w:rsidP="001B4C2D">
            <w:pPr>
              <w:contextualSpacing/>
              <w:rPr>
                <w:sz w:val="16"/>
              </w:rPr>
            </w:pPr>
            <w:r w:rsidRPr="001326BE">
              <w:rPr>
                <w:sz w:val="16"/>
              </w:rPr>
              <w:t>Damascus</w:t>
            </w:r>
          </w:p>
        </w:tc>
      </w:tr>
    </w:tbl>
    <w:p w:rsidR="000B55EE" w:rsidRDefault="000B55EE" w:rsidP="00B166ED">
      <w:pPr>
        <w:contextualSpacing/>
      </w:pPr>
    </w:p>
    <w:p w:rsidR="000B55EE" w:rsidRPr="001D4BD6" w:rsidRDefault="000B55EE" w:rsidP="000B55EE">
      <w:pPr>
        <w:contextualSpacing/>
        <w:rPr>
          <w:b/>
        </w:rPr>
      </w:pPr>
      <w:r>
        <w:rPr>
          <w:b/>
        </w:rPr>
        <w:t>Introductory Works</w:t>
      </w:r>
    </w:p>
    <w:p w:rsidR="000B55EE" w:rsidRPr="00443C6F" w:rsidRDefault="000B55EE" w:rsidP="000B55EE">
      <w:pPr>
        <w:ind w:firstLine="720"/>
        <w:contextualSpacing/>
      </w:pPr>
      <w:r>
        <w:t xml:space="preserve">Over the years, several brief introductory texts have appeared that provide basic information about the history and contemporary facts of the five families mentioned above. </w:t>
      </w:r>
      <w:proofErr w:type="gramStart"/>
      <w:r>
        <w:t xml:space="preserve">Though more than twenty years old, Norman A. Horner’s </w:t>
      </w:r>
      <w:r w:rsidR="008A3F61">
        <w:rPr>
          <w:i/>
        </w:rPr>
        <w:t xml:space="preserve">A Guide to </w:t>
      </w:r>
      <w:r>
        <w:rPr>
          <w:i/>
        </w:rPr>
        <w:t xml:space="preserve">Christian Churches in the Middle </w:t>
      </w:r>
      <w:r w:rsidRPr="00675C8C">
        <w:rPr>
          <w:i/>
        </w:rPr>
        <w:t>East</w:t>
      </w:r>
      <w:r w:rsidR="00675C8C">
        <w:rPr>
          <w:i/>
        </w:rPr>
        <w:t>: P</w:t>
      </w:r>
      <w:r w:rsidR="00675C8C" w:rsidRPr="00675C8C">
        <w:rPr>
          <w:i/>
        </w:rPr>
        <w:t xml:space="preserve">resent-day Christianity in the </w:t>
      </w:r>
      <w:r w:rsidR="00675C8C" w:rsidRPr="00675C8C">
        <w:rPr>
          <w:rStyle w:val="Strong"/>
          <w:b w:val="0"/>
          <w:i/>
        </w:rPr>
        <w:t>Middle</w:t>
      </w:r>
      <w:r w:rsidR="00675C8C" w:rsidRPr="00675C8C">
        <w:rPr>
          <w:b/>
          <w:i/>
        </w:rPr>
        <w:t xml:space="preserve"> </w:t>
      </w:r>
      <w:r w:rsidR="00675C8C" w:rsidRPr="00675C8C">
        <w:rPr>
          <w:rStyle w:val="Strong"/>
          <w:b w:val="0"/>
          <w:i/>
        </w:rPr>
        <w:t>East</w:t>
      </w:r>
      <w:r w:rsidR="00675C8C" w:rsidRPr="00675C8C">
        <w:rPr>
          <w:b/>
          <w:i/>
        </w:rPr>
        <w:t xml:space="preserve"> </w:t>
      </w:r>
      <w:r w:rsidR="00675C8C" w:rsidRPr="00675C8C">
        <w:rPr>
          <w:i/>
        </w:rPr>
        <w:t>and North Africa</w:t>
      </w:r>
      <w:r w:rsidR="00675C8C">
        <w:t xml:space="preserve"> (Elkhart, IN: Mission Focus, 1989)</w:t>
      </w:r>
      <w:r>
        <w:rPr>
          <w:i/>
        </w:rPr>
        <w:t xml:space="preserve"> </w:t>
      </w:r>
      <w:r w:rsidR="00675C8C">
        <w:t>remains a</w:t>
      </w:r>
      <w:r>
        <w:t xml:space="preserve"> concise starting point.</w:t>
      </w:r>
      <w:proofErr w:type="gramEnd"/>
      <w:r>
        <w:t xml:space="preserve"> The book’s strengths are no doubt due in large part to author’s long acquaintance with the region. Although the demographic and political information is not current, the text contains useful historical sketches which, unli</w:t>
      </w:r>
      <w:r w:rsidR="009A5729">
        <w:t>ke some other overviews, touch</w:t>
      </w:r>
      <w:r>
        <w:t xml:space="preserve"> upon the social and communal dynamics of these complex religious cultures.</w:t>
      </w:r>
    </w:p>
    <w:p w:rsidR="000B55EE" w:rsidRDefault="000B55EE" w:rsidP="000B55EE">
      <w:pPr>
        <w:ind w:firstLine="720"/>
        <w:contextualSpacing/>
      </w:pPr>
      <w:r>
        <w:t>A more recent introductory work is</w:t>
      </w:r>
      <w:r w:rsidR="00B908EA">
        <w:t xml:space="preserve"> Betty Jane and J. Marti</w:t>
      </w:r>
      <w:r w:rsidR="00B80F46">
        <w:t>n Bail</w:t>
      </w:r>
      <w:r w:rsidR="00B908EA">
        <w:t>e</w:t>
      </w:r>
      <w:r w:rsidR="00B80F46">
        <w:t>y’s</w:t>
      </w:r>
      <w:r>
        <w:t xml:space="preserve"> </w:t>
      </w:r>
      <w:r>
        <w:rPr>
          <w:i/>
        </w:rPr>
        <w:t xml:space="preserve">Who Are the Christians in the Middle East? </w:t>
      </w:r>
      <w:r w:rsidR="00B80F46">
        <w:t>(Grand Rapids: W.B. Eerdmans, 2010)</w:t>
      </w:r>
      <w:r>
        <w:t xml:space="preserve">. It covers similar ground to Horner, providing a minimum of historical and demographic information necessary to begin answering the question posed by the book’s title. There are several </w:t>
      </w:r>
      <w:r w:rsidR="00C0758B">
        <w:t>introductory chapters to set</w:t>
      </w:r>
      <w:r>
        <w:t xml:space="preserve"> context; a second section addresses the main church families; a third approaches the matter from the perspective of church-state relations, arranged by country. More explicitly evangelical in tone that Horner’s volume, the writers’ admirable enthusiasm for their subject sometimes lends itself to an uneven picture of the inter- and intra-religious tensions that can characterize these communities. Despite this shortcoming, the book</w:t>
      </w:r>
      <w:r w:rsidR="0001666B">
        <w:t xml:space="preserve"> remains a useful resource</w:t>
      </w:r>
      <w:r>
        <w:t xml:space="preserve"> </w:t>
      </w:r>
      <w:r w:rsidR="0001666B">
        <w:t xml:space="preserve">for those interested </w:t>
      </w:r>
      <w:proofErr w:type="gramStart"/>
      <w:r w:rsidR="0001666B">
        <w:t>in a</w:t>
      </w:r>
      <w:r w:rsidR="00AD464C">
        <w:t xml:space="preserve"> </w:t>
      </w:r>
      <w:r>
        <w:t>“windshield tour” of th</w:t>
      </w:r>
      <w:r w:rsidR="00C0758B">
        <w:t>e region’s Christian populations</w:t>
      </w:r>
      <w:proofErr w:type="gramEnd"/>
      <w:r>
        <w:t>.</w:t>
      </w:r>
    </w:p>
    <w:p w:rsidR="000B55EE" w:rsidRDefault="000B55EE" w:rsidP="000B55EE">
      <w:pPr>
        <w:ind w:firstLine="720"/>
        <w:contextualSpacing/>
      </w:pPr>
    </w:p>
    <w:p w:rsidR="000B55EE" w:rsidRDefault="000B55EE" w:rsidP="000B55EE">
      <w:pPr>
        <w:contextualSpacing/>
        <w:rPr>
          <w:b/>
        </w:rPr>
      </w:pPr>
      <w:r>
        <w:rPr>
          <w:b/>
        </w:rPr>
        <w:t>Monographic Works</w:t>
      </w:r>
    </w:p>
    <w:p w:rsidR="000B55EE" w:rsidRPr="00B768A4" w:rsidRDefault="000B55EE" w:rsidP="000B55EE">
      <w:pPr>
        <w:ind w:firstLine="720"/>
        <w:contextualSpacing/>
      </w:pPr>
      <w:r>
        <w:t>Those new</w:t>
      </w:r>
      <w:r w:rsidR="00AD464C">
        <w:t>er</w:t>
      </w:r>
      <w:r>
        <w:t xml:space="preserve"> to the subject and searching for a book-length treatment of both historical and modern aspects of Oriental Orthodoxy in the Middle Ea</w:t>
      </w:r>
      <w:r w:rsidR="00AD464C">
        <w:t>st should consider acquainting themselves</w:t>
      </w:r>
      <w:r>
        <w:t xml:space="preserve"> </w:t>
      </w:r>
      <w:r w:rsidR="00B908EA">
        <w:t xml:space="preserve">with </w:t>
      </w:r>
      <w:r>
        <w:t xml:space="preserve">Philip Jenkins’ recent </w:t>
      </w:r>
      <w:r>
        <w:rPr>
          <w:i/>
        </w:rPr>
        <w:t>The Lost History of Christianity: The Thousand-Year Golden Age of the Church in the Middle East, Africa, and Asia – and How it Died</w:t>
      </w:r>
      <w:r w:rsidR="00CE620E">
        <w:rPr>
          <w:i/>
        </w:rPr>
        <w:t xml:space="preserve"> </w:t>
      </w:r>
      <w:r w:rsidR="00CE620E">
        <w:t xml:space="preserve">(New York: </w:t>
      </w:r>
      <w:proofErr w:type="spellStart"/>
      <w:r w:rsidR="00CE620E">
        <w:t>HarperOne</w:t>
      </w:r>
      <w:proofErr w:type="spellEnd"/>
      <w:r w:rsidR="00CE620E">
        <w:t>, 2008)</w:t>
      </w:r>
      <w:r>
        <w:rPr>
          <w:i/>
        </w:rPr>
        <w:t xml:space="preserve">. </w:t>
      </w:r>
      <w:r>
        <w:t>Jenkins does an admi</w:t>
      </w:r>
      <w:r w:rsidR="00B908EA">
        <w:t>rable job of narrating the</w:t>
      </w:r>
      <w:r>
        <w:t xml:space="preserve"> histories of Eastern Christian traditions</w:t>
      </w:r>
      <w:r w:rsidR="00C0758B">
        <w:t>, including those of the Near/Middle East, as well as</w:t>
      </w:r>
      <w:r>
        <w:t xml:space="preserve"> Central, South, and East Asia</w:t>
      </w:r>
      <w:r w:rsidR="00C0758B">
        <w:t>. A key focus throughout is</w:t>
      </w:r>
      <w:r>
        <w:t xml:space="preserve"> on the Syrian Churches</w:t>
      </w:r>
      <w:r w:rsidR="000021FE">
        <w:t>,</w:t>
      </w:r>
      <w:r w:rsidR="009A5729">
        <w:t xml:space="preserve"> both </w:t>
      </w:r>
      <w:proofErr w:type="spellStart"/>
      <w:r w:rsidR="009A5729">
        <w:t>Jacobite</w:t>
      </w:r>
      <w:proofErr w:type="spellEnd"/>
      <w:r w:rsidR="009A5729">
        <w:t xml:space="preserve"> and Assyrian/Nestorian</w:t>
      </w:r>
      <w:r>
        <w:t>, and chapters 2 and 3 are particularly helpful in providing a</w:t>
      </w:r>
      <w:r w:rsidR="00C0758B">
        <w:t xml:space="preserve"> vivid historical picture of those</w:t>
      </w:r>
      <w:r>
        <w:t xml:space="preserve"> traditions. As his title suggests, Jenkins shares the pessimism of many concernin</w:t>
      </w:r>
      <w:r w:rsidR="00C0758B">
        <w:t>g the faith’s future in its places</w:t>
      </w:r>
      <w:r>
        <w:t xml:space="preserve"> of origin. His final chapters attempt to address current events and their bearing on Orien</w:t>
      </w:r>
      <w:r w:rsidR="00AD464C">
        <w:t>tal and other Christian communities</w:t>
      </w:r>
      <w:r>
        <w:t xml:space="preserve">. His notes provide </w:t>
      </w:r>
      <w:r w:rsidR="00AD464C">
        <w:t>useful anchor</w:t>
      </w:r>
      <w:r>
        <w:t xml:space="preserve"> points for further research, though one laments the lack of a sin</w:t>
      </w:r>
      <w:r w:rsidR="00C0758B">
        <w:t>gle, comprehensive bibliography</w:t>
      </w:r>
      <w:r>
        <w:t xml:space="preserve">. </w:t>
      </w:r>
    </w:p>
    <w:p w:rsidR="000B55EE" w:rsidRDefault="00AD464C" w:rsidP="00995962">
      <w:pPr>
        <w:ind w:firstLine="720"/>
        <w:contextualSpacing/>
      </w:pPr>
      <w:r>
        <w:t>A couple of</w:t>
      </w:r>
      <w:r w:rsidR="000B55EE">
        <w:t xml:space="preserve"> other book-length treatments of the history and contemporary conditions of Christians in the Middle East are especially to be commended. The first is </w:t>
      </w:r>
      <w:r w:rsidR="000B55EE">
        <w:lastRenderedPageBreak/>
        <w:t xml:space="preserve">Robert </w:t>
      </w:r>
      <w:proofErr w:type="spellStart"/>
      <w:r w:rsidR="000B55EE">
        <w:t>B</w:t>
      </w:r>
      <w:r w:rsidR="00B834B7">
        <w:t>r</w:t>
      </w:r>
      <w:r w:rsidR="000B55EE">
        <w:t>enton</w:t>
      </w:r>
      <w:proofErr w:type="spellEnd"/>
      <w:r w:rsidR="000B55EE">
        <w:t xml:space="preserve"> Betts’</w:t>
      </w:r>
      <w:r w:rsidR="00340F20">
        <w:t>s</w:t>
      </w:r>
      <w:r w:rsidR="000B55EE">
        <w:t xml:space="preserve"> </w:t>
      </w:r>
      <w:r w:rsidR="000B55EE">
        <w:rPr>
          <w:i/>
        </w:rPr>
        <w:t>Christians in the Arab Middle East: A Political Study</w:t>
      </w:r>
      <w:r w:rsidR="007D2893">
        <w:rPr>
          <w:i/>
        </w:rPr>
        <w:t xml:space="preserve"> </w:t>
      </w:r>
      <w:r w:rsidR="007D2893">
        <w:t>(Atlanta: John Knox, 1978)</w:t>
      </w:r>
      <w:r w:rsidR="000B55EE">
        <w:rPr>
          <w:i/>
        </w:rPr>
        <w:t xml:space="preserve">. </w:t>
      </w:r>
      <w:r w:rsidR="00340F20">
        <w:t>Betts l</w:t>
      </w:r>
      <w:r w:rsidR="000B55EE">
        <w:t>ived and taught fo</w:t>
      </w:r>
      <w:r w:rsidR="0042109D">
        <w:t>r many years in the region and</w:t>
      </w:r>
      <w:r w:rsidR="00B834B7">
        <w:t xml:space="preserve"> </w:t>
      </w:r>
      <w:r w:rsidR="000B55EE">
        <w:t>distinguished himself as an important scholar of minorities in the Middle East. A background section summarizes the historical f</w:t>
      </w:r>
      <w:r w:rsidR="0042109D">
        <w:t>ramework through which to</w:t>
      </w:r>
      <w:r w:rsidR="000B55EE">
        <w:t xml:space="preserve"> understand 20</w:t>
      </w:r>
      <w:r w:rsidR="000B55EE" w:rsidRPr="00470A75">
        <w:rPr>
          <w:vertAlign w:val="superscript"/>
        </w:rPr>
        <w:t>th</w:t>
      </w:r>
      <w:r w:rsidR="000B55EE">
        <w:t xml:space="preserve"> century events, and </w:t>
      </w:r>
      <w:proofErr w:type="gramStart"/>
      <w:r w:rsidR="000B55EE">
        <w:t>a further section deals</w:t>
      </w:r>
      <w:proofErr w:type="gramEnd"/>
      <w:r w:rsidR="000B55EE">
        <w:t>, as the title indicates, with the political significance of Ch</w:t>
      </w:r>
      <w:r w:rsidR="00B908EA">
        <w:t>ristian communities, a</w:t>
      </w:r>
      <w:r w:rsidR="0042109D">
        <w:t xml:space="preserve"> factor </w:t>
      </w:r>
      <w:r w:rsidR="000B55EE">
        <w:t>without which they cannot be fully understood.</w:t>
      </w:r>
      <w:r w:rsidR="00995962">
        <w:t xml:space="preserve"> Also useful</w:t>
      </w:r>
      <w:r w:rsidR="007D2893">
        <w:t xml:space="preserve"> is Kenneth </w:t>
      </w:r>
      <w:proofErr w:type="spellStart"/>
      <w:r w:rsidR="007D2893">
        <w:t>Cragg’s</w:t>
      </w:r>
      <w:proofErr w:type="spellEnd"/>
      <w:r w:rsidR="007D2893">
        <w:t xml:space="preserve"> well</w:t>
      </w:r>
      <w:r w:rsidR="000B55EE">
        <w:t xml:space="preserve">-regarded and readable </w:t>
      </w:r>
      <w:r w:rsidR="000B55EE">
        <w:rPr>
          <w:i/>
        </w:rPr>
        <w:t>The Arab Christian: A History in the Middle East</w:t>
      </w:r>
      <w:r w:rsidR="00766884">
        <w:rPr>
          <w:i/>
        </w:rPr>
        <w:t xml:space="preserve"> </w:t>
      </w:r>
      <w:r w:rsidR="00766884">
        <w:t>(L</w:t>
      </w:r>
      <w:r w:rsidR="00CA34FC">
        <w:t>ouisville: Westminster/John Knox</w:t>
      </w:r>
      <w:r w:rsidR="00766884">
        <w:t>, 1991)</w:t>
      </w:r>
      <w:r w:rsidR="000B55EE">
        <w:rPr>
          <w:i/>
        </w:rPr>
        <w:t>.</w:t>
      </w:r>
      <w:r w:rsidR="000B55EE">
        <w:t xml:space="preserve"> Like Betts, </w:t>
      </w:r>
      <w:proofErr w:type="spellStart"/>
      <w:r w:rsidR="000B55EE">
        <w:t>Cragg</w:t>
      </w:r>
      <w:proofErr w:type="spellEnd"/>
      <w:r w:rsidR="000B55EE">
        <w:t xml:space="preserve"> resided for years in the Middle East, </w:t>
      </w:r>
      <w:r w:rsidR="00766884">
        <w:t>at one point serving as the Anglican</w:t>
      </w:r>
      <w:r w:rsidR="000B55EE">
        <w:t xml:space="preserve"> Assistant Bishop of Jerusalem. The first half of the book covers similar ground to Betts’ volume, though </w:t>
      </w:r>
      <w:r w:rsidR="009A5729">
        <w:t xml:space="preserve">with a somewhat broader brush. </w:t>
      </w:r>
      <w:r w:rsidR="000B55EE">
        <w:t xml:space="preserve">In this regard, the reader might choose the first portion of either Betts or </w:t>
      </w:r>
      <w:proofErr w:type="spellStart"/>
      <w:r w:rsidR="000B55EE">
        <w:t>Cragg</w:t>
      </w:r>
      <w:proofErr w:type="spellEnd"/>
      <w:r w:rsidR="000B55EE">
        <w:t xml:space="preserve"> and come away with a comparable grasp of the Churches’ historical underpinning</w:t>
      </w:r>
      <w:r w:rsidR="009A5729">
        <w:t>s.</w:t>
      </w:r>
      <w:r w:rsidR="00766884">
        <w:t xml:space="preserve"> The final chapters</w:t>
      </w:r>
      <w:r w:rsidR="000B55EE">
        <w:t xml:space="preserve"> address important subjects such as the role of Christians in the </w:t>
      </w:r>
      <w:proofErr w:type="spellStart"/>
      <w:r w:rsidR="00766884" w:rsidRPr="00766884">
        <w:t>N</w:t>
      </w:r>
      <w:r w:rsidR="000B55EE" w:rsidRPr="00766884">
        <w:t>ahda</w:t>
      </w:r>
      <w:proofErr w:type="spellEnd"/>
      <w:r w:rsidR="009A5729">
        <w:t>, or Arab “renaissance,”</w:t>
      </w:r>
      <w:r w:rsidR="00766884">
        <w:t xml:space="preserve"> of the late 19</w:t>
      </w:r>
      <w:r w:rsidR="00766884" w:rsidRPr="00766884">
        <w:rPr>
          <w:vertAlign w:val="superscript"/>
        </w:rPr>
        <w:t>th</w:t>
      </w:r>
      <w:r w:rsidR="00766884">
        <w:t xml:space="preserve"> and early 20</w:t>
      </w:r>
      <w:r w:rsidR="00766884" w:rsidRPr="00766884">
        <w:rPr>
          <w:vertAlign w:val="superscript"/>
        </w:rPr>
        <w:t>th</w:t>
      </w:r>
      <w:r w:rsidR="00766884">
        <w:t xml:space="preserve"> centuries, which</w:t>
      </w:r>
      <w:r w:rsidR="000B55EE">
        <w:t xml:space="preserve"> helped modernize education, politics, and the Arabic language, as well as in the harrowing Lebanese Civil War. His chapter on art and liturgy in Arab Christian traditions is an illuminating ex</w:t>
      </w:r>
      <w:r w:rsidR="00766884">
        <w:t>plication of their</w:t>
      </w:r>
      <w:r w:rsidR="000B55EE">
        <w:t xml:space="preserve"> aesthetic dimension. </w:t>
      </w:r>
    </w:p>
    <w:p w:rsidR="000B55EE" w:rsidRDefault="000B55EE" w:rsidP="000B55EE">
      <w:pPr>
        <w:ind w:firstLine="720"/>
        <w:contextualSpacing/>
      </w:pPr>
      <w:r>
        <w:t xml:space="preserve">An important, recent contribution to the literature is Sidney H. Griffith’s </w:t>
      </w:r>
      <w:r>
        <w:rPr>
          <w:i/>
        </w:rPr>
        <w:t>The Church in the Shadow of the Mosque: Christians and Muslims in the World of Islam</w:t>
      </w:r>
      <w:r w:rsidR="00767526">
        <w:t xml:space="preserve"> (Princeton, NJ: Princeton University Press, 2008)</w:t>
      </w:r>
      <w:r>
        <w:rPr>
          <w:i/>
        </w:rPr>
        <w:t xml:space="preserve">. </w:t>
      </w:r>
      <w:r w:rsidR="00995962">
        <w:t xml:space="preserve">Unlike </w:t>
      </w:r>
      <w:proofErr w:type="spellStart"/>
      <w:r w:rsidR="00995962">
        <w:t>Cragg</w:t>
      </w:r>
      <w:proofErr w:type="spellEnd"/>
      <w:r w:rsidR="00995962">
        <w:t>, of whose work Griffith</w:t>
      </w:r>
      <w:r>
        <w:t xml:space="preserve"> is somewhat critical due to its emphasis on issues of decline</w:t>
      </w:r>
      <w:r w:rsidR="00995962">
        <w:t xml:space="preserve"> and failure, the book examines</w:t>
      </w:r>
      <w:r>
        <w:t xml:space="preserve"> “religious, cultural, and intellectual achievements </w:t>
      </w:r>
      <w:r w:rsidR="00767526">
        <w:t xml:space="preserve">of </w:t>
      </w:r>
      <w:proofErr w:type="spellStart"/>
      <w:r w:rsidR="00767526">
        <w:t>Arabophone</w:t>
      </w:r>
      <w:proofErr w:type="spellEnd"/>
      <w:r w:rsidR="00767526">
        <w:t xml:space="preserve"> Christians</w:t>
      </w:r>
      <w:r>
        <w:t>.</w:t>
      </w:r>
      <w:r w:rsidR="00767526">
        <w:t>”</w:t>
      </w:r>
      <w:r w:rsidR="00767526">
        <w:rPr>
          <w:rStyle w:val="FootnoteReference"/>
        </w:rPr>
        <w:footnoteReference w:id="5"/>
      </w:r>
      <w:r>
        <w:t xml:space="preserve"> While a common narrative </w:t>
      </w:r>
      <w:r w:rsidR="00995962">
        <w:t xml:space="preserve">emphasizes the eclipse Eastern Christianity </w:t>
      </w:r>
      <w:r>
        <w:t>with the coming of Islam in the 8</w:t>
      </w:r>
      <w:r w:rsidRPr="00ED1D73">
        <w:rPr>
          <w:vertAlign w:val="superscript"/>
        </w:rPr>
        <w:t>th</w:t>
      </w:r>
      <w:r>
        <w:t xml:space="preserve"> century C</w:t>
      </w:r>
      <w:r w:rsidR="008554D4">
        <w:t>.</w:t>
      </w:r>
      <w:r>
        <w:t>E</w:t>
      </w:r>
      <w:r w:rsidR="008554D4">
        <w:t>.</w:t>
      </w:r>
      <w:r w:rsidR="002B215F">
        <w:t>, Griffiths shows</w:t>
      </w:r>
      <w:r>
        <w:t xml:space="preserve"> that Christians under Islam, writing mainly in </w:t>
      </w:r>
      <w:r w:rsidR="00995962">
        <w:t xml:space="preserve">Arabic and </w:t>
      </w:r>
      <w:proofErr w:type="spellStart"/>
      <w:r w:rsidR="00995962">
        <w:t>Syriac</w:t>
      </w:r>
      <w:proofErr w:type="spellEnd"/>
      <w:r w:rsidR="00995962">
        <w:t>, continued to play</w:t>
      </w:r>
      <w:r w:rsidR="00530FD5">
        <w:t xml:space="preserve"> important roles within</w:t>
      </w:r>
      <w:r>
        <w:t xml:space="preserve"> the dominant Islamic cultures of which they w</w:t>
      </w:r>
      <w:r w:rsidR="00995962">
        <w:t>ere a part. Important but often-</w:t>
      </w:r>
      <w:r>
        <w:t>neglected figure</w:t>
      </w:r>
      <w:r w:rsidR="00F50003">
        <w:t xml:space="preserve">s such </w:t>
      </w:r>
      <w:proofErr w:type="spellStart"/>
      <w:r w:rsidR="00F50003">
        <w:t>Hunayn</w:t>
      </w:r>
      <w:proofErr w:type="spellEnd"/>
      <w:r w:rsidR="00F50003">
        <w:t xml:space="preserve"> </w:t>
      </w:r>
      <w:proofErr w:type="spellStart"/>
      <w:r w:rsidR="00F50003">
        <w:t>ibn</w:t>
      </w:r>
      <w:proofErr w:type="spellEnd"/>
      <w:r w:rsidR="00F50003">
        <w:t xml:space="preserve"> </w:t>
      </w:r>
      <w:proofErr w:type="spellStart"/>
      <w:r w:rsidR="00F50003">
        <w:t>Ishaq</w:t>
      </w:r>
      <w:proofErr w:type="spellEnd"/>
      <w:r w:rsidR="00F50003">
        <w:t xml:space="preserve"> (ca. 808-87</w:t>
      </w:r>
      <w:r>
        <w:t xml:space="preserve">) and Bar </w:t>
      </w:r>
      <w:proofErr w:type="spellStart"/>
      <w:r>
        <w:t>Hebraeus</w:t>
      </w:r>
      <w:proofErr w:type="spellEnd"/>
      <w:r>
        <w:t xml:space="preserve"> (d. 1286) are discusse</w:t>
      </w:r>
      <w:r w:rsidR="00277A46">
        <w:t>d</w:t>
      </w:r>
      <w:r w:rsidR="00F50003">
        <w:t>. He explores the</w:t>
      </w:r>
      <w:r>
        <w:t xml:space="preserve"> communal identities </w:t>
      </w:r>
      <w:r w:rsidR="00F50003">
        <w:t>that have</w:t>
      </w:r>
      <w:r w:rsidR="00995962">
        <w:t xml:space="preserve"> developed, </w:t>
      </w:r>
      <w:r w:rsidR="00F50003">
        <w:t xml:space="preserve">and </w:t>
      </w:r>
      <w:r w:rsidR="00995962">
        <w:t>how the groups in question coped with a</w:t>
      </w:r>
      <w:r>
        <w:t xml:space="preserve"> changing status with regard to both Islamic and Christian powers, while continuing to make vital contributions to philosophy, theology, and other discipl</w:t>
      </w:r>
      <w:r w:rsidR="00F50003">
        <w:t>ines. This important book will</w:t>
      </w:r>
      <w:r>
        <w:t xml:space="preserve"> command the attention of anyone interested i</w:t>
      </w:r>
      <w:r w:rsidR="003325A2">
        <w:t>n better understanding the vibrant,</w:t>
      </w:r>
      <w:r>
        <w:t xml:space="preserve"> complex historical and theological background of today’s Middle Eastern Christian communities. </w:t>
      </w:r>
    </w:p>
    <w:p w:rsidR="000B55EE" w:rsidRDefault="000B55EE" w:rsidP="000B55EE">
      <w:pPr>
        <w:ind w:firstLine="720"/>
        <w:contextualSpacing/>
      </w:pPr>
      <w:r>
        <w:t xml:space="preserve">Also worth noting is </w:t>
      </w:r>
      <w:proofErr w:type="spellStart"/>
      <w:r>
        <w:t>Antonie</w:t>
      </w:r>
      <w:proofErr w:type="spellEnd"/>
      <w:r>
        <w:t xml:space="preserve"> </w:t>
      </w:r>
      <w:proofErr w:type="spellStart"/>
      <w:r>
        <w:t>Wessels</w:t>
      </w:r>
      <w:proofErr w:type="spellEnd"/>
      <w:r>
        <w:t xml:space="preserve">’ </w:t>
      </w:r>
      <w:r>
        <w:rPr>
          <w:i/>
        </w:rPr>
        <w:t>Arab and Christian?: Christians in the Middle East</w:t>
      </w:r>
      <w:r w:rsidR="00144BDD">
        <w:rPr>
          <w:i/>
        </w:rPr>
        <w:t xml:space="preserve"> </w:t>
      </w:r>
      <w:r w:rsidR="00144BDD">
        <w:t>(</w:t>
      </w:r>
      <w:proofErr w:type="spellStart"/>
      <w:r w:rsidR="00144BDD">
        <w:t>Kampen</w:t>
      </w:r>
      <w:proofErr w:type="spellEnd"/>
      <w:r w:rsidR="00144BDD">
        <w:t>: Pharos, 1995),</w:t>
      </w:r>
      <w:r>
        <w:rPr>
          <w:i/>
        </w:rPr>
        <w:t xml:space="preserve"> </w:t>
      </w:r>
      <w:r>
        <w:t>which approaches the subject by way of chapter-length treatments o</w:t>
      </w:r>
      <w:r w:rsidR="003325A2">
        <w:t>f the main groups</w:t>
      </w:r>
      <w:r w:rsidR="00B908EA">
        <w:t xml:space="preserve"> and</w:t>
      </w:r>
      <w:r>
        <w:t xml:space="preserve"> introduces key historical, theological, and political the</w:t>
      </w:r>
      <w:r w:rsidR="00B908EA">
        <w:t>mes, bringing</w:t>
      </w:r>
      <w:r>
        <w:t xml:space="preserve"> them up to date t</w:t>
      </w:r>
      <w:r w:rsidR="00B908EA">
        <w:t>o the time of publication</w:t>
      </w:r>
      <w:r>
        <w:t>. The translation can be awkward in places, but the volume is freque</w:t>
      </w:r>
      <w:r w:rsidR="00530FD5">
        <w:t xml:space="preserve">ntly cited and offers a </w:t>
      </w:r>
      <w:r w:rsidR="00144BDD">
        <w:t>valuable</w:t>
      </w:r>
      <w:r>
        <w:t xml:space="preserve"> introduction to the Middle Eastern Churches. </w:t>
      </w:r>
    </w:p>
    <w:p w:rsidR="000B55EE" w:rsidRDefault="00B36473" w:rsidP="00530FD5">
      <w:pPr>
        <w:ind w:firstLine="720"/>
        <w:contextualSpacing/>
      </w:pPr>
      <w:r>
        <w:t>A</w:t>
      </w:r>
      <w:r w:rsidR="000B55EE">
        <w:t xml:space="preserve"> work not to be missed</w:t>
      </w:r>
      <w:r w:rsidR="00530FD5">
        <w:t xml:space="preserve"> by those interested in today’s Middle Eastern Christians</w:t>
      </w:r>
      <w:r w:rsidR="000B55EE">
        <w:t xml:space="preserve"> is William </w:t>
      </w:r>
      <w:proofErr w:type="spellStart"/>
      <w:r w:rsidR="000B55EE">
        <w:t>Dalrymple’s</w:t>
      </w:r>
      <w:proofErr w:type="spellEnd"/>
      <w:r w:rsidR="000B55EE">
        <w:t xml:space="preserve"> </w:t>
      </w:r>
      <w:r w:rsidR="00530FD5">
        <w:t xml:space="preserve">engaging and winsomely written </w:t>
      </w:r>
      <w:r w:rsidR="000B55EE">
        <w:rPr>
          <w:i/>
        </w:rPr>
        <w:t>From the Holy Mountain: A Jo</w:t>
      </w:r>
      <w:r w:rsidR="00144BDD">
        <w:rPr>
          <w:i/>
        </w:rPr>
        <w:t xml:space="preserve">urney </w:t>
      </w:r>
      <w:proofErr w:type="gramStart"/>
      <w:r w:rsidR="00144BDD">
        <w:rPr>
          <w:i/>
        </w:rPr>
        <w:t>Among</w:t>
      </w:r>
      <w:proofErr w:type="gramEnd"/>
      <w:r w:rsidR="00144BDD">
        <w:rPr>
          <w:i/>
        </w:rPr>
        <w:t xml:space="preserve"> the Christians of the Middle East </w:t>
      </w:r>
      <w:r w:rsidR="00144BDD">
        <w:t>(New York: Henry Holt, 1998)</w:t>
      </w:r>
      <w:r w:rsidR="000B55EE">
        <w:rPr>
          <w:i/>
        </w:rPr>
        <w:t xml:space="preserve">. </w:t>
      </w:r>
      <w:r w:rsidR="00530FD5">
        <w:t>A</w:t>
      </w:r>
      <w:r w:rsidR="000B55EE">
        <w:t xml:space="preserve"> combination of history and travel</w:t>
      </w:r>
      <w:r w:rsidR="00530FD5">
        <w:t xml:space="preserve"> writing</w:t>
      </w:r>
      <w:r w:rsidR="000B55EE">
        <w:t>,</w:t>
      </w:r>
      <w:r w:rsidR="00144BDD">
        <w:t xml:space="preserve"> the book chronicles</w:t>
      </w:r>
      <w:r w:rsidR="000B55EE">
        <w:t xml:space="preserve"> the author’s pilgrimage in the f</w:t>
      </w:r>
      <w:r w:rsidR="00144BDD">
        <w:t>ootsteps (more or less) of the 6</w:t>
      </w:r>
      <w:r w:rsidR="00144BDD" w:rsidRPr="00144BDD">
        <w:rPr>
          <w:vertAlign w:val="superscript"/>
        </w:rPr>
        <w:t>th</w:t>
      </w:r>
      <w:r w:rsidR="00144BDD">
        <w:t xml:space="preserve"> century monk and writer St. John of </w:t>
      </w:r>
      <w:proofErr w:type="spellStart"/>
      <w:r w:rsidR="000B55EE">
        <w:t>Moschos</w:t>
      </w:r>
      <w:proofErr w:type="spellEnd"/>
      <w:r w:rsidR="00144BDD">
        <w:t xml:space="preserve"> (d. </w:t>
      </w:r>
      <w:r w:rsidR="00144BDD">
        <w:lastRenderedPageBreak/>
        <w:t>619)</w:t>
      </w:r>
      <w:r w:rsidR="000B55EE">
        <w:t xml:space="preserve">, and provides insights into </w:t>
      </w:r>
      <w:r w:rsidR="00530FD5">
        <w:t xml:space="preserve">both </w:t>
      </w:r>
      <w:r w:rsidR="000B55EE">
        <w:t xml:space="preserve">the </w:t>
      </w:r>
      <w:r w:rsidR="003325A2">
        <w:t>heritage and contemporary fate</w:t>
      </w:r>
      <w:r w:rsidR="000B55EE">
        <w:t xml:space="preserve"> of the Turkish, Syrian, Lebanese, Palestinian, and Egyptian Christian communities. Although he has been criticized for taking too romanticized a view of certain </w:t>
      </w:r>
      <w:r w:rsidR="003325A2">
        <w:t>of the communities he chronicles</w:t>
      </w:r>
      <w:r w:rsidR="00530FD5">
        <w:t xml:space="preserve">, </w:t>
      </w:r>
      <w:r w:rsidR="000B55EE">
        <w:t>the reader will undoubted</w:t>
      </w:r>
      <w:r w:rsidR="00642AD0">
        <w:t>ly finish the book with a more vivid</w:t>
      </w:r>
      <w:r w:rsidR="000B55EE">
        <w:t xml:space="preserve"> understanding of </w:t>
      </w:r>
      <w:r w:rsidR="00530FD5">
        <w:t>the subject.</w:t>
      </w:r>
      <w:r w:rsidR="00950CF5">
        <w:t xml:space="preserve"> </w:t>
      </w:r>
    </w:p>
    <w:p w:rsidR="000C4475" w:rsidRPr="000C4475" w:rsidRDefault="000C4475" w:rsidP="00530FD5">
      <w:pPr>
        <w:ind w:firstLine="720"/>
        <w:contextualSpacing/>
      </w:pPr>
      <w:r>
        <w:t xml:space="preserve">Charles M. </w:t>
      </w:r>
      <w:proofErr w:type="spellStart"/>
      <w:r>
        <w:t>Sennott’s</w:t>
      </w:r>
      <w:proofErr w:type="spellEnd"/>
      <w:r>
        <w:t xml:space="preserve"> </w:t>
      </w:r>
      <w:r>
        <w:rPr>
          <w:i/>
        </w:rPr>
        <w:t xml:space="preserve">The Body and the Blood: The Middle East’s Vanishing Christians and the Possibility of Peace </w:t>
      </w:r>
      <w:r>
        <w:t xml:space="preserve">(New York: Public Affairs, 2001) </w:t>
      </w:r>
      <w:r w:rsidR="00584A7E">
        <w:t>focuses a journalist’s lens on</w:t>
      </w:r>
      <w:r>
        <w:t xml:space="preserve"> the Christian groups </w:t>
      </w:r>
      <w:r w:rsidR="00584A7E">
        <w:t>in the Holy Land. Though a decade old, it remains a useful aid in understanding the complex political and cultural dynamics of that troubled region.</w:t>
      </w:r>
    </w:p>
    <w:p w:rsidR="00950CF5" w:rsidRDefault="00950CF5" w:rsidP="00530FD5">
      <w:pPr>
        <w:ind w:firstLine="720"/>
        <w:contextualSpacing/>
      </w:pPr>
    </w:p>
    <w:p w:rsidR="000B55EE" w:rsidRDefault="000B55EE" w:rsidP="000B55EE">
      <w:pPr>
        <w:contextualSpacing/>
        <w:rPr>
          <w:b/>
        </w:rPr>
      </w:pPr>
      <w:r>
        <w:rPr>
          <w:b/>
        </w:rPr>
        <w:t>Edited Works</w:t>
      </w:r>
    </w:p>
    <w:p w:rsidR="000B55EE" w:rsidRDefault="00F02E09" w:rsidP="000B55EE">
      <w:pPr>
        <w:ind w:firstLine="720"/>
        <w:contextualSpacing/>
      </w:pPr>
      <w:r>
        <w:t>Two</w:t>
      </w:r>
      <w:r w:rsidR="000B55EE">
        <w:t xml:space="preserve"> rece</w:t>
      </w:r>
      <w:r w:rsidR="00CA4CB5">
        <w:t>nt edited volumes greatly enhance</w:t>
      </w:r>
      <w:r w:rsidR="00DA77C4">
        <w:t xml:space="preserve"> the understanding </w:t>
      </w:r>
      <w:r w:rsidR="000B55EE">
        <w:t xml:space="preserve">of Middle Eastern </w:t>
      </w:r>
      <w:proofErr w:type="spellStart"/>
      <w:r w:rsidR="000B55EE">
        <w:t>Christianities</w:t>
      </w:r>
      <w:proofErr w:type="spellEnd"/>
      <w:r w:rsidR="000B55EE">
        <w:t xml:space="preserve">, and help bring the discussion very much up to date. </w:t>
      </w:r>
      <w:r w:rsidR="000B55EE">
        <w:rPr>
          <w:i/>
        </w:rPr>
        <w:t xml:space="preserve">Christian Communities in the Arab Middle East </w:t>
      </w:r>
      <w:r w:rsidR="00351021">
        <w:t>(Oxford: Clarendon Press, 1998</w:t>
      </w:r>
      <w:r w:rsidR="000B55EE">
        <w:t xml:space="preserve">), </w:t>
      </w:r>
      <w:r w:rsidR="00277A46">
        <w:t xml:space="preserve">edited by Andrea </w:t>
      </w:r>
      <w:proofErr w:type="spellStart"/>
      <w:r w:rsidR="00277A46">
        <w:t>Pacin</w:t>
      </w:r>
      <w:r w:rsidR="00351021">
        <w:t>i</w:t>
      </w:r>
      <w:proofErr w:type="spellEnd"/>
      <w:r w:rsidR="00351021">
        <w:t xml:space="preserve"> and translated from Italian</w:t>
      </w:r>
      <w:r w:rsidR="000B55EE">
        <w:t>, considers the current struggles of Middle Eastern Christians from a range of political, demogra</w:t>
      </w:r>
      <w:r w:rsidR="00DA77C4">
        <w:t>phic, and communal perspectives.</w:t>
      </w:r>
      <w:r w:rsidR="00F50003">
        <w:t xml:space="preserve"> </w:t>
      </w:r>
      <w:r w:rsidR="000B55EE">
        <w:t>While there is a necessary consideration of historical fa</w:t>
      </w:r>
      <w:r w:rsidR="00351021">
        <w:t>ctors, the focus</w:t>
      </w:r>
      <w:r w:rsidR="000B55EE">
        <w:t xml:space="preserve"> throughout this volume is on understan</w:t>
      </w:r>
      <w:r w:rsidR="00DA77C4">
        <w:t xml:space="preserve">ding the contemporary context. </w:t>
      </w:r>
      <w:r w:rsidR="000B55EE">
        <w:t>Containing work by some leading scholars in their resp</w:t>
      </w:r>
      <w:r w:rsidR="00CA4CB5">
        <w:t xml:space="preserve">ective areas, it has chapters addressing </w:t>
      </w:r>
      <w:r w:rsidR="000B55EE">
        <w:t xml:space="preserve">the significance of </w:t>
      </w:r>
      <w:proofErr w:type="spellStart"/>
      <w:r w:rsidR="000B55EE">
        <w:t>Islamization</w:t>
      </w:r>
      <w:proofErr w:type="spellEnd"/>
      <w:r w:rsidR="000B55EE">
        <w:t xml:space="preserve">, nationalist movements, </w:t>
      </w:r>
      <w:r w:rsidR="00CA4CB5">
        <w:t>emigration</w:t>
      </w:r>
      <w:r w:rsidR="000B55EE">
        <w:t xml:space="preserve">, problems of minority status and citizenship, cultural contributions to areas such as literature and journalism, </w:t>
      </w:r>
      <w:r w:rsidR="00CA4CB5">
        <w:t xml:space="preserve">and the </w:t>
      </w:r>
      <w:r w:rsidR="000B55EE">
        <w:t>economic significance of Christian Arab communities in the region. It contains extremely useful appendices s</w:t>
      </w:r>
      <w:r w:rsidR="00351021">
        <w:t>ummarizing the rites of</w:t>
      </w:r>
      <w:r w:rsidR="000B55EE">
        <w:t xml:space="preserve"> the various churches and their jurisdictional range – two of the most complex and potentially confusing aspects of the subject. It also has a glossary of key terms.</w:t>
      </w:r>
    </w:p>
    <w:p w:rsidR="000B55EE" w:rsidRDefault="00351021" w:rsidP="000B55EE">
      <w:pPr>
        <w:ind w:firstLine="720"/>
        <w:contextualSpacing/>
      </w:pPr>
      <w:proofErr w:type="spellStart"/>
      <w:r>
        <w:t>O’Mahony</w:t>
      </w:r>
      <w:proofErr w:type="spellEnd"/>
      <w:r>
        <w:t xml:space="preserve"> and </w:t>
      </w:r>
      <w:proofErr w:type="spellStart"/>
      <w:r>
        <w:t>Loosely’s</w:t>
      </w:r>
      <w:proofErr w:type="spellEnd"/>
      <w:r>
        <w:t xml:space="preserve"> (eds.) </w:t>
      </w:r>
      <w:r w:rsidR="000B55EE">
        <w:rPr>
          <w:i/>
        </w:rPr>
        <w:t>Eastern Christianity in the Modern Middle East</w:t>
      </w:r>
      <w:r w:rsidR="000B55EE">
        <w:t xml:space="preserve"> </w:t>
      </w:r>
      <w:r>
        <w:t xml:space="preserve">(London: </w:t>
      </w:r>
      <w:proofErr w:type="spellStart"/>
      <w:r>
        <w:t>Routledge</w:t>
      </w:r>
      <w:proofErr w:type="spellEnd"/>
      <w:r>
        <w:t xml:space="preserve">, 2010) </w:t>
      </w:r>
      <w:r w:rsidR="001E4B3D">
        <w:t>provides substantial</w:t>
      </w:r>
      <w:r w:rsidR="000B55EE">
        <w:t xml:space="preserve">, readable treatments of the Syrian, </w:t>
      </w:r>
      <w:proofErr w:type="spellStart"/>
      <w:r w:rsidR="000B55EE">
        <w:t>Maronite</w:t>
      </w:r>
      <w:proofErr w:type="spellEnd"/>
      <w:r w:rsidR="000B55EE">
        <w:t>, Assyrian, Coptic, Armenian, and Eastern (Greek) Orthodox traditions, as well as a succinct pol</w:t>
      </w:r>
      <w:r w:rsidR="001E4B3D">
        <w:t>itical and theological overview</w:t>
      </w:r>
      <w:r w:rsidR="000B55EE">
        <w:t xml:space="preserve">. Each chapter does an excellent job of offering a holistic view of its subject, and includes very current information. Like the </w:t>
      </w:r>
      <w:proofErr w:type="spellStart"/>
      <w:r w:rsidR="000B55EE">
        <w:t>Pacini</w:t>
      </w:r>
      <w:proofErr w:type="spellEnd"/>
      <w:r w:rsidR="000B55EE">
        <w:t xml:space="preserve"> volume, the scholars represented, including the editors, are among the </w:t>
      </w:r>
      <w:r w:rsidR="00DA77C4">
        <w:t>most important figures writing</w:t>
      </w:r>
      <w:r w:rsidR="000B55EE">
        <w:t xml:space="preserve"> in the field. </w:t>
      </w:r>
    </w:p>
    <w:p w:rsidR="000B55EE" w:rsidRPr="00AB66CC" w:rsidRDefault="000B55EE" w:rsidP="000B55EE">
      <w:pPr>
        <w:ind w:firstLine="720"/>
        <w:contextualSpacing/>
      </w:pPr>
      <w:r>
        <w:t xml:space="preserve">Also noteworthy is </w:t>
      </w:r>
      <w:proofErr w:type="spellStart"/>
      <w:r w:rsidR="00D65B92">
        <w:t>Badr</w:t>
      </w:r>
      <w:proofErr w:type="spellEnd"/>
      <w:r w:rsidR="00D65B92">
        <w:t xml:space="preserve"> et al.’s </w:t>
      </w:r>
      <w:r>
        <w:rPr>
          <w:i/>
        </w:rPr>
        <w:t>Christianity: A History in the Middle East</w:t>
      </w:r>
      <w:r w:rsidR="00D65B92">
        <w:rPr>
          <w:i/>
        </w:rPr>
        <w:t xml:space="preserve"> </w:t>
      </w:r>
      <w:r w:rsidR="00D65B92">
        <w:t>(Beirut, Lebanon: Middle East Council of Churches, Studies &amp; Research Program, 2005).</w:t>
      </w:r>
      <w:r>
        <w:t xml:space="preserve"> It addresses both his</w:t>
      </w:r>
      <w:r w:rsidR="00372617">
        <w:t>torical and contemporary topics, with a number of</w:t>
      </w:r>
      <w:r w:rsidR="00D65B92">
        <w:t xml:space="preserve"> chapters</w:t>
      </w:r>
      <w:r w:rsidR="00372617">
        <w:t xml:space="preserve"> </w:t>
      </w:r>
      <w:r>
        <w:t>wr</w:t>
      </w:r>
      <w:r w:rsidR="00D65B92">
        <w:t>itten by members of ind</w:t>
      </w:r>
      <w:r w:rsidR="00B84184">
        <w:t>igenous Middle Eastern</w:t>
      </w:r>
      <w:r w:rsidR="00D65B92">
        <w:t xml:space="preserve"> t</w:t>
      </w:r>
      <w:r>
        <w:t>raditions</w:t>
      </w:r>
      <w:r w:rsidR="00D65B92">
        <w:t>. Most significant perhaps is</w:t>
      </w:r>
      <w:r>
        <w:t xml:space="preserve"> a final section on ecumenism, a moveme</w:t>
      </w:r>
      <w:r w:rsidR="00D65B92">
        <w:t>nt, especially since WWII, which</w:t>
      </w:r>
      <w:r w:rsidR="00B84184">
        <w:t xml:space="preserve"> has been an important</w:t>
      </w:r>
      <w:r>
        <w:t>, if not always realized, aspiration of many of these Christian communities.</w:t>
      </w:r>
      <w:r w:rsidR="005318AD">
        <w:rPr>
          <w:rStyle w:val="FootnoteReference"/>
        </w:rPr>
        <w:footnoteReference w:id="6"/>
      </w:r>
    </w:p>
    <w:p w:rsidR="000828DA" w:rsidRDefault="000828DA" w:rsidP="000B55EE">
      <w:pPr>
        <w:contextualSpacing/>
        <w:rPr>
          <w:b/>
        </w:rPr>
      </w:pPr>
    </w:p>
    <w:p w:rsidR="000B55EE" w:rsidRPr="00FE4A88" w:rsidRDefault="000B55EE" w:rsidP="000B55EE">
      <w:pPr>
        <w:contextualSpacing/>
        <w:rPr>
          <w:b/>
        </w:rPr>
      </w:pPr>
      <w:r>
        <w:rPr>
          <w:b/>
        </w:rPr>
        <w:t>Reference Works</w:t>
      </w:r>
    </w:p>
    <w:p w:rsidR="000B55EE" w:rsidRDefault="001B6671" w:rsidP="001B6671">
      <w:pPr>
        <w:ind w:firstLine="720"/>
        <w:contextualSpacing/>
      </w:pPr>
      <w:r>
        <w:lastRenderedPageBreak/>
        <w:t>Several reference works</w:t>
      </w:r>
      <w:r w:rsidR="000B55EE">
        <w:t xml:space="preserve"> a</w:t>
      </w:r>
      <w:r w:rsidR="00D65B92">
        <w:t>re</w:t>
      </w:r>
      <w:r>
        <w:t xml:space="preserve"> worth consulting for the</w:t>
      </w:r>
      <w:r w:rsidR="000B55EE">
        <w:t xml:space="preserve"> histor</w:t>
      </w:r>
      <w:r>
        <w:t>ical and cultural background they provide</w:t>
      </w:r>
      <w:r w:rsidR="0010197B">
        <w:t xml:space="preserve"> on Middle Eastern Christianity</w:t>
      </w:r>
      <w:r w:rsidR="000B55EE">
        <w:t xml:space="preserve">. A. J. </w:t>
      </w:r>
      <w:proofErr w:type="spellStart"/>
      <w:r w:rsidR="000B55EE">
        <w:t>Arberry’s</w:t>
      </w:r>
      <w:proofErr w:type="spellEnd"/>
      <w:r w:rsidR="000B55EE">
        <w:t xml:space="preserve"> </w:t>
      </w:r>
      <w:r w:rsidR="00D65B92">
        <w:t xml:space="preserve">(ed.) </w:t>
      </w:r>
      <w:r w:rsidR="000B55EE">
        <w:rPr>
          <w:i/>
        </w:rPr>
        <w:t>Religion in the Middle East</w:t>
      </w:r>
      <w:r w:rsidR="000B55EE">
        <w:t xml:space="preserve"> (</w:t>
      </w:r>
      <w:r w:rsidR="00D65B92">
        <w:t>London: Cambridge University Press,</w:t>
      </w:r>
      <w:r w:rsidR="000B55EE">
        <w:t xml:space="preserve"> 1969) remai</w:t>
      </w:r>
      <w:r w:rsidR="00D65B92">
        <w:t>ns useful in this regard. Part two</w:t>
      </w:r>
      <w:r w:rsidR="000B55EE">
        <w:t xml:space="preserve"> of </w:t>
      </w:r>
      <w:r w:rsidR="0010197B">
        <w:t>the first volume</w:t>
      </w:r>
      <w:r w:rsidR="00277A46">
        <w:t xml:space="preserve"> contain</w:t>
      </w:r>
      <w:r w:rsidR="00B84184">
        <w:t>s</w:t>
      </w:r>
      <w:r w:rsidR="000B55EE">
        <w:t xml:space="preserve"> substantial articles on the various churches, including the Cop</w:t>
      </w:r>
      <w:r w:rsidR="00D65B92">
        <w:t>tic, Armenian, and Assyrian, as well as</w:t>
      </w:r>
      <w:r w:rsidR="000B55EE">
        <w:t xml:space="preserve"> an introductory artic</w:t>
      </w:r>
      <w:r w:rsidR="00B84184">
        <w:t xml:space="preserve">le by W.H.C. </w:t>
      </w:r>
      <w:proofErr w:type="spellStart"/>
      <w:r w:rsidR="00B84184">
        <w:t>Frend</w:t>
      </w:r>
      <w:proofErr w:type="spellEnd"/>
      <w:r w:rsidR="000B55EE">
        <w:t xml:space="preserve"> </w:t>
      </w:r>
      <w:r w:rsidR="00B84184">
        <w:t xml:space="preserve">providing </w:t>
      </w:r>
      <w:r w:rsidR="000B55EE">
        <w:t xml:space="preserve">a manageable </w:t>
      </w:r>
      <w:r>
        <w:t xml:space="preserve">survey </w:t>
      </w:r>
      <w:r w:rsidR="00D65B92">
        <w:t>of the</w:t>
      </w:r>
      <w:r w:rsidR="000B55EE">
        <w:t xml:space="preserve"> historical landscape. Volume 5 of </w:t>
      </w:r>
      <w:r w:rsidR="00B36473">
        <w:rPr>
          <w:i/>
        </w:rPr>
        <w:t>T</w:t>
      </w:r>
      <w:r w:rsidR="000B55EE" w:rsidRPr="00B36473">
        <w:rPr>
          <w:i/>
        </w:rPr>
        <w:t xml:space="preserve">he </w:t>
      </w:r>
      <w:r w:rsidR="000B55EE">
        <w:rPr>
          <w:i/>
        </w:rPr>
        <w:t>Cambridge History of Christianity</w:t>
      </w:r>
      <w:r w:rsidR="0010197B">
        <w:rPr>
          <w:i/>
        </w:rPr>
        <w:t xml:space="preserve"> </w:t>
      </w:r>
      <w:r w:rsidR="0010197B">
        <w:t xml:space="preserve">(Cambridge: Cambridge University Press, 2006), edited by Michael </w:t>
      </w:r>
      <w:proofErr w:type="spellStart"/>
      <w:r w:rsidR="0010197B">
        <w:t>Angold</w:t>
      </w:r>
      <w:proofErr w:type="spellEnd"/>
      <w:r w:rsidR="0010197B">
        <w:t>,</w:t>
      </w:r>
      <w:r>
        <w:t xml:space="preserve"> contains excellent</w:t>
      </w:r>
      <w:r w:rsidR="000B55EE">
        <w:t xml:space="preserve"> historical and contemporary overviews of Byzantine (Greek) and Russian Churches, with section 3 focused on the Oriental Churches. Like </w:t>
      </w:r>
      <w:proofErr w:type="spellStart"/>
      <w:r w:rsidR="000B55EE">
        <w:t>Arberry</w:t>
      </w:r>
      <w:proofErr w:type="spellEnd"/>
      <w:r w:rsidR="000B55EE">
        <w:t>, the historical and cultural canvas is quite broad.</w:t>
      </w:r>
    </w:p>
    <w:p w:rsidR="00876F7D" w:rsidRDefault="000B55EE" w:rsidP="00AC4B79">
      <w:pPr>
        <w:ind w:firstLine="720"/>
        <w:contextualSpacing/>
      </w:pPr>
      <w:r>
        <w:t>Two recent vo</w:t>
      </w:r>
      <w:r w:rsidR="0010197B">
        <w:t>lumes from Blackwell will be particularly</w:t>
      </w:r>
      <w:r>
        <w:t xml:space="preserve"> useful. </w:t>
      </w:r>
      <w:r>
        <w:rPr>
          <w:i/>
        </w:rPr>
        <w:t xml:space="preserve">The Blackwell Companion to Eastern Christianity </w:t>
      </w:r>
      <w:r>
        <w:t>(</w:t>
      </w:r>
      <w:r w:rsidR="00AC4B79">
        <w:t>Malden, Mass.</w:t>
      </w:r>
      <w:r w:rsidR="008850DE">
        <w:t xml:space="preserve">: Blackwell, </w:t>
      </w:r>
      <w:r>
        <w:t>2007) offers more than 20 article-length chapters providing historical, theological, and practical overviews of each tradition, and include well-chosen and thorough bibliographies. Particularly relev</w:t>
      </w:r>
      <w:r w:rsidR="00285AC3">
        <w:t>ant and engaging topics include</w:t>
      </w:r>
      <w:r>
        <w:t xml:space="preserve"> Arab Christianity, Armenian Christianity, Coptic Christianity, Oriental Liturgical Traditions, Hagiographic Traditions, and a chapter on sociological approaches to Eastern Christi</w:t>
      </w:r>
      <w:r w:rsidR="00285AC3">
        <w:t>anity more generally. The last</w:t>
      </w:r>
      <w:r>
        <w:t xml:space="preserve"> </w:t>
      </w:r>
      <w:r w:rsidR="00285AC3">
        <w:t xml:space="preserve">three </w:t>
      </w:r>
      <w:r>
        <w:t xml:space="preserve">of these are especially </w:t>
      </w:r>
      <w:r w:rsidR="00285AC3">
        <w:t xml:space="preserve">helpful in going beyond a mere </w:t>
      </w:r>
      <w:r>
        <w:t>history of ide</w:t>
      </w:r>
      <w:r w:rsidR="00285AC3">
        <w:t>as</w:t>
      </w:r>
      <w:r w:rsidR="001B6671">
        <w:t xml:space="preserve"> approach and help develop a fuller sense of the “felt life”</w:t>
      </w:r>
      <w:r>
        <w:t xml:space="preserve"> of the traditions in question. For example, noted liturgical scholar Bryan D</w:t>
      </w:r>
      <w:r w:rsidR="001B6671">
        <w:t>.</w:t>
      </w:r>
      <w:r>
        <w:t xml:space="preserve"> Spinks prov</w:t>
      </w:r>
      <w:r w:rsidR="003D29F9">
        <w:t>ides an overview of</w:t>
      </w:r>
      <w:r>
        <w:t xml:space="preserve"> daily o</w:t>
      </w:r>
      <w:r w:rsidR="00285AC3">
        <w:t>ffices, as well as marriage, funeral,</w:t>
      </w:r>
      <w:r>
        <w:t xml:space="preserve"> ordination</w:t>
      </w:r>
      <w:r w:rsidR="00285AC3">
        <w:t>,</w:t>
      </w:r>
      <w:r>
        <w:t xml:space="preserve"> and Eucharistic rites. </w:t>
      </w:r>
      <w:r w:rsidR="00285AC3">
        <w:t>The chapter on Oriental iconograp</w:t>
      </w:r>
      <w:r w:rsidR="003D29F9">
        <w:t>hic and architectural heritages</w:t>
      </w:r>
      <w:r w:rsidR="00285AC3">
        <w:t xml:space="preserve"> introduces each main tradition and discusses key examples. </w:t>
      </w:r>
      <w:r>
        <w:t xml:space="preserve">A substantial bibliography is provided for continued, more detailed study. </w:t>
      </w:r>
      <w:r w:rsidR="00012158">
        <w:t>A related work,</w:t>
      </w:r>
      <w:r>
        <w:t xml:space="preserve"> </w:t>
      </w:r>
      <w:r>
        <w:rPr>
          <w:i/>
        </w:rPr>
        <w:t>The Blackwell Dictionary of Eastern Christianity</w:t>
      </w:r>
      <w:r>
        <w:t xml:space="preserve"> </w:t>
      </w:r>
      <w:r w:rsidR="00AC4B79">
        <w:t>(Malden, Mass.: Blackwell, 2001)</w:t>
      </w:r>
      <w:r w:rsidR="00012158">
        <w:t>,</w:t>
      </w:r>
      <w:r w:rsidR="00AC4B79">
        <w:t xml:space="preserve"> </w:t>
      </w:r>
      <w:r>
        <w:t>provides access to key terms, events, and person</w:t>
      </w:r>
      <w:r w:rsidR="00012158">
        <w:t>s</w:t>
      </w:r>
      <w:r>
        <w:t xml:space="preserve"> relevant to understanding Middle Eastern church traditions. A good number of th</w:t>
      </w:r>
      <w:r w:rsidR="00AC4B79">
        <w:t>ese are several pages in length and offer</w:t>
      </w:r>
      <w:r>
        <w:t xml:space="preserve"> bibliographical guidance, while others are </w:t>
      </w:r>
      <w:r w:rsidR="00AC4B79">
        <w:t xml:space="preserve">quite </w:t>
      </w:r>
      <w:r>
        <w:t xml:space="preserve">brief. </w:t>
      </w:r>
    </w:p>
    <w:p w:rsidR="00876F7D" w:rsidRPr="00DB1E97" w:rsidRDefault="00AF3E55" w:rsidP="00876F7D">
      <w:pPr>
        <w:ind w:firstLine="720"/>
        <w:contextualSpacing/>
      </w:pPr>
      <w:r>
        <w:t>Finally, a</w:t>
      </w:r>
      <w:r w:rsidR="00876F7D">
        <w:t xml:space="preserve"> couple of forthcoming </w:t>
      </w:r>
      <w:r w:rsidR="00A1419E">
        <w:t xml:space="preserve">reference </w:t>
      </w:r>
      <w:r w:rsidR="00876F7D">
        <w:t>works will</w:t>
      </w:r>
      <w:r w:rsidR="00052304">
        <w:t xml:space="preserve"> no doubt be making vital contributions to the</w:t>
      </w:r>
      <w:r w:rsidR="00B12B72">
        <w:t xml:space="preserve"> study</w:t>
      </w:r>
      <w:r w:rsidR="00A1419E">
        <w:t xml:space="preserve"> </w:t>
      </w:r>
      <w:r w:rsidR="00052304">
        <w:t xml:space="preserve">of </w:t>
      </w:r>
      <w:r w:rsidR="00264F82">
        <w:t>Middle Eastern Christianity:</w:t>
      </w:r>
      <w:r>
        <w:t xml:space="preserve"> </w:t>
      </w:r>
      <w:r w:rsidR="00876F7D">
        <w:rPr>
          <w:i/>
        </w:rPr>
        <w:t xml:space="preserve">The Orthodox Christian World </w:t>
      </w:r>
      <w:r w:rsidR="00876F7D">
        <w:t>(</w:t>
      </w:r>
      <w:r w:rsidR="005E1606">
        <w:t xml:space="preserve">London: </w:t>
      </w:r>
      <w:proofErr w:type="spellStart"/>
      <w:r w:rsidR="00876F7D">
        <w:t>Routledge</w:t>
      </w:r>
      <w:proofErr w:type="spellEnd"/>
      <w:r w:rsidR="00876F7D">
        <w:t xml:space="preserve">, </w:t>
      </w:r>
      <w:r w:rsidR="005935C1">
        <w:t>forthcoming</w:t>
      </w:r>
      <w:r w:rsidR="00876F7D">
        <w:t xml:space="preserve"> 2011) and the </w:t>
      </w:r>
      <w:r w:rsidR="00876F7D">
        <w:rPr>
          <w:i/>
        </w:rPr>
        <w:t xml:space="preserve">Encyclopedia of Eastern Orthodox Christianity </w:t>
      </w:r>
      <w:r w:rsidR="005E1606">
        <w:t>(Malden, Mass.: W</w:t>
      </w:r>
      <w:r w:rsidR="005935C1">
        <w:t>iley-Blackwell, forthcoming</w:t>
      </w:r>
      <w:r w:rsidR="005E1606">
        <w:t xml:space="preserve"> 2011</w:t>
      </w:r>
      <w:r w:rsidR="00876F7D">
        <w:t>)</w:t>
      </w:r>
      <w:r w:rsidR="00264F82">
        <w:t>.</w:t>
      </w:r>
      <w:r>
        <w:t xml:space="preserve"> </w:t>
      </w:r>
    </w:p>
    <w:p w:rsidR="000B55EE" w:rsidRPr="004A2CBA" w:rsidRDefault="000B55EE" w:rsidP="000B55EE">
      <w:pPr>
        <w:ind w:firstLine="720"/>
        <w:contextualSpacing/>
      </w:pPr>
    </w:p>
    <w:p w:rsidR="00264F82" w:rsidRDefault="008054C3" w:rsidP="00264F82">
      <w:pPr>
        <w:contextualSpacing/>
        <w:rPr>
          <w:b/>
        </w:rPr>
      </w:pPr>
      <w:r>
        <w:rPr>
          <w:b/>
        </w:rPr>
        <w:t>Summary</w:t>
      </w:r>
    </w:p>
    <w:p w:rsidR="00957F2C" w:rsidRDefault="008A7633" w:rsidP="00957F2C">
      <w:pPr>
        <w:contextualSpacing/>
      </w:pPr>
      <w:r>
        <w:tab/>
        <w:t>Following the bibliographic</w:t>
      </w:r>
      <w:r w:rsidR="00264F82">
        <w:t xml:space="preserve"> </w:t>
      </w:r>
      <w:r w:rsidR="000A1149">
        <w:t>trails begun in the preceding</w:t>
      </w:r>
      <w:r w:rsidR="00264F82">
        <w:t xml:space="preserve"> works will lead the reader to a range of primary and</w:t>
      </w:r>
      <w:r w:rsidR="005935C1">
        <w:t xml:space="preserve"> secondary resources treating</w:t>
      </w:r>
      <w:r w:rsidR="00264F82">
        <w:t xml:space="preserve"> many aspects of the various traditions addressed in this essay</w:t>
      </w:r>
      <w:r w:rsidR="000A1149">
        <w:t>, including works dealing in greater dep</w:t>
      </w:r>
      <w:r w:rsidR="00E5789A">
        <w:t>th</w:t>
      </w:r>
      <w:r w:rsidR="00C468D8">
        <w:t xml:space="preserve"> with the particular Churches. </w:t>
      </w:r>
      <w:r w:rsidR="00C830DA">
        <w:t>As this essay was being</w:t>
      </w:r>
      <w:r w:rsidR="008E4F40">
        <w:t xml:space="preserve"> completed, dramatic events have been</w:t>
      </w:r>
      <w:r w:rsidR="00C830DA">
        <w:t xml:space="preserve"> unfolding in Tunisia, Egypt, </w:t>
      </w:r>
      <w:r w:rsidR="00012158">
        <w:t xml:space="preserve">Syria </w:t>
      </w:r>
      <w:r w:rsidR="00C830DA">
        <w:t xml:space="preserve">and elsewhere </w:t>
      </w:r>
      <w:r w:rsidR="008E4F40">
        <w:t>in the region. The broader consequences</w:t>
      </w:r>
      <w:r w:rsidR="00B12B72">
        <w:t xml:space="preserve"> of these events</w:t>
      </w:r>
      <w:r w:rsidR="008E4F40">
        <w:t>, as well as the</w:t>
      </w:r>
      <w:r w:rsidR="00B12B72">
        <w:t>ir</w:t>
      </w:r>
      <w:r w:rsidR="008E4F40">
        <w:t xml:space="preserve"> significance for </w:t>
      </w:r>
      <w:r w:rsidR="00B12B72">
        <w:t xml:space="preserve">the </w:t>
      </w:r>
      <w:r w:rsidR="008E4F40">
        <w:t>Christian communities there, are</w:t>
      </w:r>
      <w:r w:rsidR="00C830DA">
        <w:t xml:space="preserve"> uncertain.</w:t>
      </w:r>
      <w:r w:rsidR="00051D6D">
        <w:t xml:space="preserve"> Some</w:t>
      </w:r>
      <w:r w:rsidR="008054C3">
        <w:t xml:space="preserve"> continue to</w:t>
      </w:r>
      <w:r w:rsidR="00051D6D">
        <w:t xml:space="preserve"> urge a more integrated role for the Churches</w:t>
      </w:r>
      <w:r w:rsidR="008E4F40">
        <w:t xml:space="preserve"> in public life, while other</w:t>
      </w:r>
      <w:r w:rsidR="00B12B72">
        <w:t>s</w:t>
      </w:r>
      <w:r w:rsidR="008E4F40">
        <w:t xml:space="preserve"> warn of further marginalization.</w:t>
      </w:r>
      <w:r w:rsidR="005935C1">
        <w:t xml:space="preserve"> It is hoped that t</w:t>
      </w:r>
      <w:r w:rsidR="00B12B72">
        <w:t>he</w:t>
      </w:r>
      <w:r w:rsidR="00162676">
        <w:t xml:space="preserve"> works recommended above</w:t>
      </w:r>
      <w:r w:rsidR="00B12B72">
        <w:t xml:space="preserve"> </w:t>
      </w:r>
      <w:r w:rsidR="00162676">
        <w:t>will provide useful guidance to</w:t>
      </w:r>
      <w:r w:rsidR="00B12B72">
        <w:t xml:space="preserve"> those interested in learning</w:t>
      </w:r>
      <w:r w:rsidR="00162676">
        <w:t xml:space="preserve"> more</w:t>
      </w:r>
      <w:r w:rsidR="00B12B72">
        <w:t xml:space="preserve"> about </w:t>
      </w:r>
      <w:r w:rsidR="008054C3">
        <w:t>the contem</w:t>
      </w:r>
      <w:r w:rsidR="00C468D8">
        <w:t>porary circumstances</w:t>
      </w:r>
      <w:r w:rsidR="00DB1758">
        <w:t xml:space="preserve"> of </w:t>
      </w:r>
      <w:r w:rsidR="00B12B72">
        <w:t>these important and dynamic Christian traditions.</w:t>
      </w:r>
      <w:bookmarkStart w:id="0" w:name="_GoBack"/>
      <w:bookmarkEnd w:id="0"/>
    </w:p>
    <w:p w:rsidR="008054C3" w:rsidRPr="008054C3" w:rsidRDefault="008054C3" w:rsidP="00A123D1">
      <w:pPr>
        <w:pStyle w:val="NormalWeb"/>
        <w:spacing w:beforeLines="0" w:afterLines="0" w:line="264" w:lineRule="atLeast"/>
        <w:contextualSpacing/>
        <w:rPr>
          <w:rFonts w:ascii="Times New Roman" w:hAnsi="Times New Roman"/>
          <w:b/>
          <w:sz w:val="24"/>
        </w:rPr>
      </w:pPr>
      <w:r>
        <w:rPr>
          <w:rFonts w:ascii="Times New Roman" w:hAnsi="Times New Roman"/>
          <w:b/>
          <w:sz w:val="24"/>
        </w:rPr>
        <w:t>Works Cited</w:t>
      </w:r>
    </w:p>
    <w:p w:rsidR="004B5BD5" w:rsidRDefault="004B5BD5"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lastRenderedPageBreak/>
        <w:t>Angold</w:t>
      </w:r>
      <w:proofErr w:type="spellEnd"/>
      <w:r w:rsidRPr="004B5BD5">
        <w:rPr>
          <w:rFonts w:ascii="Times New Roman" w:hAnsi="Times New Roman"/>
          <w:sz w:val="24"/>
        </w:rPr>
        <w:t xml:space="preserve">, Michael, </w:t>
      </w:r>
      <w:proofErr w:type="gramStart"/>
      <w:r w:rsidRPr="004B5BD5">
        <w:rPr>
          <w:rFonts w:ascii="Times New Roman" w:hAnsi="Times New Roman"/>
          <w:sz w:val="24"/>
        </w:rPr>
        <w:t>ed</w:t>
      </w:r>
      <w:proofErr w:type="gramEnd"/>
      <w:r w:rsidRPr="004B5BD5">
        <w:rPr>
          <w:rFonts w:ascii="Times New Roman" w:hAnsi="Times New Roman"/>
          <w:sz w:val="24"/>
        </w:rPr>
        <w:t xml:space="preserve">. </w:t>
      </w:r>
      <w:r w:rsidR="000F712C">
        <w:rPr>
          <w:rFonts w:ascii="Times New Roman" w:hAnsi="Times New Roman"/>
          <w:i/>
          <w:sz w:val="24"/>
        </w:rPr>
        <w:t xml:space="preserve">The Cambridge History of Christianity, 5: </w:t>
      </w:r>
      <w:r w:rsidRPr="004B5BD5">
        <w:rPr>
          <w:rFonts w:ascii="Times New Roman" w:hAnsi="Times New Roman"/>
          <w:i/>
          <w:iCs/>
          <w:sz w:val="24"/>
        </w:rPr>
        <w:t>Eastern Christianity</w:t>
      </w:r>
      <w:r w:rsidRPr="004B5BD5">
        <w:rPr>
          <w:rFonts w:ascii="Times New Roman" w:hAnsi="Times New Roman"/>
          <w:sz w:val="24"/>
        </w:rPr>
        <w:t xml:space="preserve">. </w:t>
      </w:r>
      <w:r w:rsidR="00957F2C">
        <w:rPr>
          <w:rFonts w:ascii="Times New Roman" w:hAnsi="Times New Roman"/>
          <w:sz w:val="24"/>
        </w:rPr>
        <w:tab/>
      </w:r>
      <w:r w:rsidRPr="004B5BD5">
        <w:rPr>
          <w:rFonts w:ascii="Times New Roman" w:hAnsi="Times New Roman"/>
          <w:sz w:val="24"/>
        </w:rPr>
        <w:t>Cambridge, UK: Cambridge University Press, 2006</w:t>
      </w:r>
      <w:r>
        <w:rPr>
          <w:rFonts w:ascii="Times New Roman" w:hAnsi="Times New Roman"/>
          <w:sz w:val="24"/>
        </w:rPr>
        <w:t>.</w:t>
      </w:r>
    </w:p>
    <w:p w:rsidR="004B5BD5" w:rsidRDefault="004B5BD5"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Arberry</w:t>
      </w:r>
      <w:proofErr w:type="spellEnd"/>
      <w:r w:rsidRPr="004B5BD5">
        <w:rPr>
          <w:rFonts w:ascii="Times New Roman" w:hAnsi="Times New Roman"/>
          <w:sz w:val="24"/>
        </w:rPr>
        <w:t xml:space="preserve">, A. J. </w:t>
      </w:r>
      <w:r w:rsidRPr="004B5BD5">
        <w:rPr>
          <w:rFonts w:ascii="Times New Roman" w:hAnsi="Times New Roman"/>
          <w:i/>
          <w:iCs/>
          <w:sz w:val="24"/>
        </w:rPr>
        <w:t>Religion in the Middle East: Three Religions in Concord and Conflict</w:t>
      </w:r>
      <w:r w:rsidRPr="004B5BD5">
        <w:rPr>
          <w:rFonts w:ascii="Times New Roman" w:hAnsi="Times New Roman"/>
          <w:sz w:val="24"/>
        </w:rPr>
        <w:t xml:space="preserve">. </w:t>
      </w:r>
      <w:r w:rsidR="00957F2C">
        <w:rPr>
          <w:rFonts w:ascii="Times New Roman" w:hAnsi="Times New Roman"/>
          <w:sz w:val="24"/>
        </w:rPr>
        <w:tab/>
      </w:r>
      <w:r w:rsidRPr="004B5BD5">
        <w:rPr>
          <w:rFonts w:ascii="Times New Roman" w:hAnsi="Times New Roman"/>
          <w:sz w:val="24"/>
        </w:rPr>
        <w:t xml:space="preserve">London: Cambridge University Press, 1969. </w:t>
      </w:r>
      <w:r w:rsidRPr="004B5BD5">
        <w:rPr>
          <w:rStyle w:val="z3988"/>
          <w:rFonts w:ascii="Times New Roman" w:hAnsi="Times New Roman"/>
          <w:sz w:val="24"/>
        </w:rPr>
        <w:t> </w:t>
      </w:r>
    </w:p>
    <w:p w:rsidR="004B5BD5" w:rsidRDefault="004B5BD5"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Badr</w:t>
      </w:r>
      <w:proofErr w:type="spellEnd"/>
      <w:r w:rsidRPr="004B5BD5">
        <w:rPr>
          <w:rFonts w:ascii="Times New Roman" w:hAnsi="Times New Roman"/>
          <w:sz w:val="24"/>
        </w:rPr>
        <w:t xml:space="preserve">, </w:t>
      </w:r>
      <w:proofErr w:type="spellStart"/>
      <w:r w:rsidR="00E919CF">
        <w:rPr>
          <w:rFonts w:ascii="Times New Roman"/>
          <w:sz w:val="24"/>
        </w:rPr>
        <w:t>H</w:t>
      </w:r>
      <w:r w:rsidRPr="004B5BD5">
        <w:rPr>
          <w:rFonts w:ascii="Times New Roman" w:hAnsi="Times New Roman"/>
          <w:sz w:val="24"/>
        </w:rPr>
        <w:t>ab</w:t>
      </w:r>
      <w:r w:rsidR="00927F0C">
        <w:rPr>
          <w:rFonts w:ascii="Times New Roman" w:hAnsi="Times New Roman"/>
          <w:sz w:val="24"/>
        </w:rPr>
        <w:t>ib</w:t>
      </w:r>
      <w:proofErr w:type="spellEnd"/>
      <w:r w:rsidR="00927F0C">
        <w:rPr>
          <w:rFonts w:ascii="Times New Roman" w:hAnsi="Times New Roman"/>
          <w:sz w:val="24"/>
        </w:rPr>
        <w:t xml:space="preserve"> et al.</w:t>
      </w:r>
      <w:r w:rsidRPr="004B5BD5">
        <w:rPr>
          <w:rFonts w:ascii="Times New Roman" w:hAnsi="Times New Roman"/>
          <w:sz w:val="24"/>
        </w:rPr>
        <w:t xml:space="preserve">, eds. </w:t>
      </w:r>
      <w:r w:rsidRPr="004B5BD5">
        <w:rPr>
          <w:rFonts w:ascii="Times New Roman" w:hAnsi="Times New Roman"/>
          <w:i/>
          <w:iCs/>
          <w:sz w:val="24"/>
        </w:rPr>
        <w:t>Christianity: A History in the Middle East</w:t>
      </w:r>
      <w:r w:rsidRPr="004B5BD5">
        <w:rPr>
          <w:rFonts w:ascii="Times New Roman" w:hAnsi="Times New Roman"/>
          <w:sz w:val="24"/>
        </w:rPr>
        <w:t xml:space="preserve">. Beirut, Lebanon: </w:t>
      </w:r>
      <w:r w:rsidR="00957F2C">
        <w:rPr>
          <w:rFonts w:ascii="Times New Roman" w:hAnsi="Times New Roman"/>
          <w:sz w:val="24"/>
        </w:rPr>
        <w:tab/>
      </w:r>
      <w:r w:rsidRPr="004B5BD5">
        <w:rPr>
          <w:rFonts w:ascii="Times New Roman" w:hAnsi="Times New Roman"/>
          <w:sz w:val="24"/>
        </w:rPr>
        <w:t>Middle East Council of Chur</w:t>
      </w:r>
      <w:r w:rsidR="00E919CF">
        <w:rPr>
          <w:rFonts w:ascii="Times New Roman" w:hAnsi="Times New Roman"/>
          <w:sz w:val="24"/>
        </w:rPr>
        <w:t>ches Studies &amp; Research Program</w:t>
      </w:r>
      <w:r w:rsidRPr="004B5BD5">
        <w:rPr>
          <w:rFonts w:ascii="Times New Roman" w:hAnsi="Times New Roman"/>
          <w:sz w:val="24"/>
        </w:rPr>
        <w:t xml:space="preserve">, 2005. </w:t>
      </w:r>
      <w:r w:rsidRPr="004B5BD5">
        <w:rPr>
          <w:rStyle w:val="z3988"/>
          <w:rFonts w:ascii="Times New Roman" w:hAnsi="Times New Roman"/>
          <w:sz w:val="24"/>
        </w:rPr>
        <w:t> </w:t>
      </w:r>
    </w:p>
    <w:p w:rsidR="004B5BD5" w:rsidRDefault="004B5BD5" w:rsidP="00A123D1">
      <w:pPr>
        <w:pStyle w:val="NormalWeb"/>
        <w:spacing w:beforeLines="0" w:afterLines="0"/>
        <w:contextualSpacing/>
        <w:rPr>
          <w:rFonts w:ascii="Times New Roman" w:hAnsi="Times New Roman"/>
          <w:sz w:val="24"/>
        </w:rPr>
      </w:pPr>
      <w:proofErr w:type="gramStart"/>
      <w:r w:rsidRPr="004B5BD5">
        <w:rPr>
          <w:rFonts w:ascii="Times New Roman" w:hAnsi="Times New Roman"/>
          <w:sz w:val="24"/>
        </w:rPr>
        <w:t>Bailey, Betty Jane, and J. Martin Bailey.</w:t>
      </w:r>
      <w:proofErr w:type="gramEnd"/>
      <w:r w:rsidRPr="004B5BD5">
        <w:rPr>
          <w:rFonts w:ascii="Times New Roman" w:hAnsi="Times New Roman"/>
          <w:sz w:val="24"/>
        </w:rPr>
        <w:t xml:space="preserve"> </w:t>
      </w:r>
      <w:r w:rsidRPr="004B5BD5">
        <w:rPr>
          <w:rFonts w:ascii="Times New Roman" w:hAnsi="Times New Roman"/>
          <w:i/>
          <w:iCs/>
          <w:sz w:val="24"/>
        </w:rPr>
        <w:t>Who Are the Christians in the Middle East?</w:t>
      </w:r>
      <w:r w:rsidRPr="004B5BD5">
        <w:rPr>
          <w:rFonts w:ascii="Times New Roman" w:hAnsi="Times New Roman"/>
          <w:sz w:val="24"/>
        </w:rPr>
        <w:t xml:space="preserve"> </w:t>
      </w:r>
      <w:r w:rsidR="00957F2C">
        <w:rPr>
          <w:rFonts w:ascii="Times New Roman" w:hAnsi="Times New Roman"/>
          <w:sz w:val="24"/>
        </w:rPr>
        <w:tab/>
      </w:r>
      <w:r w:rsidRPr="004B5BD5">
        <w:rPr>
          <w:rFonts w:ascii="Times New Roman" w:hAnsi="Times New Roman"/>
          <w:sz w:val="24"/>
        </w:rPr>
        <w:t>Grand</w:t>
      </w:r>
      <w:r>
        <w:rPr>
          <w:rFonts w:ascii="Times New Roman" w:hAnsi="Times New Roman"/>
          <w:sz w:val="24"/>
        </w:rPr>
        <w:t xml:space="preserve"> Rapids, </w:t>
      </w:r>
      <w:proofErr w:type="spellStart"/>
      <w:r>
        <w:rPr>
          <w:rFonts w:ascii="Times New Roman" w:hAnsi="Times New Roman"/>
          <w:sz w:val="24"/>
        </w:rPr>
        <w:t>Mich</w:t>
      </w:r>
      <w:proofErr w:type="spellEnd"/>
      <w:r>
        <w:rPr>
          <w:rFonts w:ascii="Times New Roman" w:hAnsi="Times New Roman"/>
          <w:sz w:val="24"/>
        </w:rPr>
        <w:t>: W.B. Eerdmans</w:t>
      </w:r>
      <w:r w:rsidRPr="004B5BD5">
        <w:rPr>
          <w:rFonts w:ascii="Times New Roman" w:hAnsi="Times New Roman"/>
          <w:sz w:val="24"/>
        </w:rPr>
        <w:t xml:space="preserve">, 2010. </w:t>
      </w:r>
      <w:r w:rsidRPr="004B5BD5">
        <w:rPr>
          <w:rStyle w:val="z3988"/>
          <w:rFonts w:ascii="Times New Roman" w:hAnsi="Times New Roman"/>
          <w:sz w:val="24"/>
        </w:rPr>
        <w:t> </w:t>
      </w:r>
    </w:p>
    <w:p w:rsidR="004B5BD5" w:rsidRDefault="00957F2C" w:rsidP="00A123D1">
      <w:pPr>
        <w:pStyle w:val="NormalWeb"/>
        <w:spacing w:beforeLines="0" w:afterLines="0"/>
        <w:ind w:hanging="720"/>
        <w:contextualSpacing/>
        <w:rPr>
          <w:rFonts w:ascii="Times New Roman" w:hAnsi="Times New Roman"/>
          <w:sz w:val="24"/>
        </w:rPr>
      </w:pPr>
      <w:r>
        <w:rPr>
          <w:rFonts w:ascii="Times New Roman" w:hAnsi="Times New Roman"/>
          <w:sz w:val="24"/>
        </w:rPr>
        <w:tab/>
      </w:r>
      <w:r w:rsidR="004B5BD5" w:rsidRPr="004B5BD5">
        <w:rPr>
          <w:rFonts w:ascii="Times New Roman" w:hAnsi="Times New Roman"/>
          <w:sz w:val="24"/>
        </w:rPr>
        <w:t xml:space="preserve">Betts, Robert </w:t>
      </w:r>
      <w:proofErr w:type="spellStart"/>
      <w:r w:rsidR="004B5BD5" w:rsidRPr="004B5BD5">
        <w:rPr>
          <w:rFonts w:ascii="Times New Roman" w:hAnsi="Times New Roman"/>
          <w:sz w:val="24"/>
        </w:rPr>
        <w:t>Brenton</w:t>
      </w:r>
      <w:proofErr w:type="spellEnd"/>
      <w:r w:rsidR="004B5BD5" w:rsidRPr="004B5BD5">
        <w:rPr>
          <w:rFonts w:ascii="Times New Roman" w:hAnsi="Times New Roman"/>
          <w:sz w:val="24"/>
        </w:rPr>
        <w:t xml:space="preserve">. </w:t>
      </w:r>
      <w:r w:rsidR="004B5BD5" w:rsidRPr="004B5BD5">
        <w:rPr>
          <w:rFonts w:ascii="Times New Roman" w:hAnsi="Times New Roman"/>
          <w:i/>
          <w:iCs/>
          <w:sz w:val="24"/>
        </w:rPr>
        <w:t>Christians in the Arab East: A Political Study</w:t>
      </w:r>
      <w:r w:rsidR="004B5BD5">
        <w:rPr>
          <w:rFonts w:ascii="Times New Roman" w:hAnsi="Times New Roman"/>
          <w:sz w:val="24"/>
        </w:rPr>
        <w:t>.</w:t>
      </w:r>
      <w:r w:rsidR="004B5BD5" w:rsidRPr="004B5BD5">
        <w:rPr>
          <w:rFonts w:ascii="Times New Roman" w:hAnsi="Times New Roman"/>
          <w:sz w:val="24"/>
        </w:rPr>
        <w:t xml:space="preserve"> Atlanta: John Knox </w:t>
      </w:r>
      <w:r>
        <w:rPr>
          <w:rFonts w:ascii="Times New Roman" w:hAnsi="Times New Roman"/>
          <w:sz w:val="24"/>
        </w:rPr>
        <w:tab/>
      </w:r>
      <w:r w:rsidR="004B5BD5" w:rsidRPr="004B5BD5">
        <w:rPr>
          <w:rFonts w:ascii="Times New Roman" w:hAnsi="Times New Roman"/>
          <w:sz w:val="24"/>
        </w:rPr>
        <w:t xml:space="preserve">Press, 1978. </w:t>
      </w:r>
      <w:r w:rsidR="004B5BD5" w:rsidRPr="004B5BD5">
        <w:rPr>
          <w:rStyle w:val="z3988"/>
          <w:rFonts w:ascii="Times New Roman" w:hAnsi="Times New Roman"/>
          <w:sz w:val="24"/>
        </w:rPr>
        <w:t> </w:t>
      </w:r>
    </w:p>
    <w:p w:rsidR="00D15653" w:rsidRDefault="00BF057C"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Casiday</w:t>
      </w:r>
      <w:proofErr w:type="spellEnd"/>
      <w:r w:rsidRPr="004B5BD5">
        <w:rPr>
          <w:rFonts w:ascii="Times New Roman" w:hAnsi="Times New Roman"/>
          <w:sz w:val="24"/>
        </w:rPr>
        <w:t xml:space="preserve">, Augustine. </w:t>
      </w:r>
      <w:proofErr w:type="gramStart"/>
      <w:r w:rsidRPr="004B5BD5">
        <w:rPr>
          <w:rFonts w:ascii="Times New Roman" w:hAnsi="Times New Roman"/>
          <w:i/>
          <w:iCs/>
          <w:sz w:val="24"/>
        </w:rPr>
        <w:t>The Orthodox Christian World</w:t>
      </w:r>
      <w:r>
        <w:rPr>
          <w:rFonts w:ascii="Times New Roman" w:hAnsi="Times New Roman"/>
          <w:sz w:val="24"/>
        </w:rPr>
        <w:t>.</w:t>
      </w:r>
      <w:proofErr w:type="gramEnd"/>
      <w:r>
        <w:rPr>
          <w:rFonts w:ascii="Times New Roman" w:hAnsi="Times New Roman"/>
          <w:sz w:val="24"/>
        </w:rPr>
        <w:t xml:space="preserve"> London:</w:t>
      </w:r>
      <w:r w:rsidRPr="004B5BD5">
        <w:rPr>
          <w:rFonts w:ascii="Times New Roman" w:hAnsi="Times New Roman"/>
          <w:sz w:val="24"/>
        </w:rPr>
        <w:t xml:space="preserve"> </w:t>
      </w:r>
      <w:proofErr w:type="spellStart"/>
      <w:r w:rsidRPr="004B5BD5">
        <w:rPr>
          <w:rFonts w:ascii="Times New Roman" w:hAnsi="Times New Roman"/>
          <w:sz w:val="24"/>
        </w:rPr>
        <w:t>Routledge</w:t>
      </w:r>
      <w:proofErr w:type="spellEnd"/>
      <w:r w:rsidRPr="004B5BD5">
        <w:rPr>
          <w:rFonts w:ascii="Times New Roman" w:hAnsi="Times New Roman"/>
          <w:sz w:val="24"/>
        </w:rPr>
        <w:t xml:space="preserve">, 2011. </w:t>
      </w:r>
      <w:r w:rsidRPr="004B5BD5">
        <w:rPr>
          <w:rStyle w:val="z3988"/>
          <w:rFonts w:ascii="Times New Roman" w:hAnsi="Times New Roman"/>
          <w:sz w:val="24"/>
        </w:rPr>
        <w:t> </w:t>
      </w:r>
    </w:p>
    <w:p w:rsidR="00D15653" w:rsidRPr="004B5BD5" w:rsidRDefault="00D15653"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Cragg</w:t>
      </w:r>
      <w:proofErr w:type="spellEnd"/>
      <w:r w:rsidRPr="004B5BD5">
        <w:rPr>
          <w:rFonts w:ascii="Times New Roman" w:hAnsi="Times New Roman"/>
          <w:sz w:val="24"/>
        </w:rPr>
        <w:t xml:space="preserve">, Kenneth. </w:t>
      </w:r>
      <w:r w:rsidRPr="004B5BD5">
        <w:rPr>
          <w:rFonts w:ascii="Times New Roman" w:hAnsi="Times New Roman"/>
          <w:i/>
          <w:iCs/>
          <w:sz w:val="24"/>
        </w:rPr>
        <w:t>The Arab Christian: A History in the Middle East</w:t>
      </w:r>
      <w:r>
        <w:rPr>
          <w:rFonts w:ascii="Times New Roman" w:hAnsi="Times New Roman"/>
          <w:sz w:val="24"/>
        </w:rPr>
        <w:t xml:space="preserve">. </w:t>
      </w:r>
      <w:r w:rsidR="00E919CF">
        <w:rPr>
          <w:rFonts w:ascii="Times New Roman" w:hAnsi="Times New Roman"/>
          <w:sz w:val="24"/>
        </w:rPr>
        <w:t>Louisville</w:t>
      </w:r>
      <w:r w:rsidRPr="004B5BD5">
        <w:rPr>
          <w:rFonts w:ascii="Times New Roman" w:hAnsi="Times New Roman"/>
          <w:sz w:val="24"/>
        </w:rPr>
        <w:t xml:space="preserve">: </w:t>
      </w:r>
      <w:r w:rsidR="00957F2C">
        <w:rPr>
          <w:rFonts w:ascii="Times New Roman" w:hAnsi="Times New Roman"/>
          <w:sz w:val="24"/>
        </w:rPr>
        <w:tab/>
      </w:r>
      <w:r w:rsidRPr="004B5BD5">
        <w:rPr>
          <w:rFonts w:ascii="Times New Roman" w:hAnsi="Times New Roman"/>
          <w:sz w:val="24"/>
        </w:rPr>
        <w:t xml:space="preserve">Westminster/John Knox Press, 1991. </w:t>
      </w:r>
      <w:r w:rsidRPr="004B5BD5">
        <w:rPr>
          <w:rStyle w:val="z3988"/>
          <w:rFonts w:ascii="Times New Roman" w:hAnsi="Times New Roman"/>
          <w:sz w:val="24"/>
        </w:rPr>
        <w:t> </w:t>
      </w:r>
    </w:p>
    <w:p w:rsidR="00C14B76" w:rsidRDefault="00C14B76" w:rsidP="00A123D1">
      <w:pPr>
        <w:pStyle w:val="NormalWeb"/>
        <w:spacing w:beforeLines="0" w:afterLines="0"/>
        <w:contextualSpacing/>
        <w:rPr>
          <w:rFonts w:ascii="Times New Roman" w:hAnsi="Times New Roman"/>
          <w:sz w:val="24"/>
        </w:rPr>
      </w:pPr>
      <w:proofErr w:type="spellStart"/>
      <w:r w:rsidRPr="00C14B76">
        <w:rPr>
          <w:rFonts w:ascii="Times New Roman" w:hAnsi="Times New Roman"/>
          <w:sz w:val="24"/>
        </w:rPr>
        <w:t>Dalrymple</w:t>
      </w:r>
      <w:proofErr w:type="spellEnd"/>
      <w:r w:rsidRPr="00C14B76">
        <w:rPr>
          <w:rFonts w:ascii="Times New Roman" w:hAnsi="Times New Roman"/>
          <w:sz w:val="24"/>
        </w:rPr>
        <w:t xml:space="preserve">, William. </w:t>
      </w:r>
      <w:r w:rsidRPr="00C14B76">
        <w:rPr>
          <w:rFonts w:ascii="Times New Roman" w:hAnsi="Times New Roman"/>
          <w:i/>
          <w:iCs/>
          <w:sz w:val="24"/>
        </w:rPr>
        <w:t xml:space="preserve">From the Holy Mountain: A Journey </w:t>
      </w:r>
      <w:proofErr w:type="gramStart"/>
      <w:r w:rsidRPr="00C14B76">
        <w:rPr>
          <w:rFonts w:ascii="Times New Roman" w:hAnsi="Times New Roman"/>
          <w:i/>
          <w:iCs/>
          <w:sz w:val="24"/>
        </w:rPr>
        <w:t>Among</w:t>
      </w:r>
      <w:proofErr w:type="gramEnd"/>
      <w:r w:rsidRPr="00C14B76">
        <w:rPr>
          <w:rFonts w:ascii="Times New Roman" w:hAnsi="Times New Roman"/>
          <w:i/>
          <w:iCs/>
          <w:sz w:val="24"/>
        </w:rPr>
        <w:t xml:space="preserve"> the Christians of the </w:t>
      </w:r>
      <w:r w:rsidR="00957F2C">
        <w:rPr>
          <w:rFonts w:ascii="Times New Roman" w:hAnsi="Times New Roman"/>
          <w:i/>
          <w:iCs/>
          <w:sz w:val="24"/>
        </w:rPr>
        <w:tab/>
      </w:r>
      <w:r w:rsidRPr="00C14B76">
        <w:rPr>
          <w:rFonts w:ascii="Times New Roman" w:hAnsi="Times New Roman"/>
          <w:i/>
          <w:iCs/>
          <w:sz w:val="24"/>
        </w:rPr>
        <w:t>Middle East</w:t>
      </w:r>
      <w:r>
        <w:rPr>
          <w:rFonts w:ascii="Times New Roman" w:hAnsi="Times New Roman"/>
          <w:sz w:val="24"/>
        </w:rPr>
        <w:t>. New York: Henry Holt</w:t>
      </w:r>
      <w:r w:rsidRPr="00C14B76">
        <w:rPr>
          <w:rFonts w:ascii="Times New Roman" w:hAnsi="Times New Roman"/>
          <w:sz w:val="24"/>
        </w:rPr>
        <w:t xml:space="preserve">, 1998. </w:t>
      </w:r>
      <w:r w:rsidRPr="00C14B76">
        <w:rPr>
          <w:rStyle w:val="z3988"/>
          <w:rFonts w:ascii="Times New Roman" w:hAnsi="Times New Roman"/>
          <w:sz w:val="24"/>
        </w:rPr>
        <w:t> </w:t>
      </w:r>
    </w:p>
    <w:p w:rsidR="00D15653" w:rsidRDefault="0065317D" w:rsidP="00A123D1">
      <w:pPr>
        <w:pStyle w:val="NormalWeb"/>
        <w:spacing w:beforeLines="0" w:afterLines="0"/>
        <w:contextualSpacing/>
        <w:rPr>
          <w:rFonts w:ascii="Times New Roman" w:hAnsi="Times New Roman"/>
          <w:sz w:val="24"/>
        </w:rPr>
      </w:pPr>
      <w:r w:rsidRPr="004B5BD5">
        <w:rPr>
          <w:rFonts w:ascii="Times New Roman" w:hAnsi="Times New Roman"/>
          <w:sz w:val="24"/>
        </w:rPr>
        <w:t xml:space="preserve">Griffith, Sidney Harrison. </w:t>
      </w:r>
      <w:r w:rsidRPr="004B5BD5">
        <w:rPr>
          <w:rFonts w:ascii="Times New Roman" w:hAnsi="Times New Roman"/>
          <w:i/>
          <w:iCs/>
          <w:sz w:val="24"/>
        </w:rPr>
        <w:t xml:space="preserve">The Church in the Shadow of the Mosque: Christians and </w:t>
      </w:r>
      <w:r w:rsidR="00957F2C">
        <w:rPr>
          <w:rFonts w:ascii="Times New Roman" w:hAnsi="Times New Roman"/>
          <w:i/>
          <w:iCs/>
          <w:sz w:val="24"/>
        </w:rPr>
        <w:tab/>
      </w:r>
      <w:r w:rsidRPr="004B5BD5">
        <w:rPr>
          <w:rFonts w:ascii="Times New Roman" w:hAnsi="Times New Roman"/>
          <w:i/>
          <w:iCs/>
          <w:sz w:val="24"/>
        </w:rPr>
        <w:t>Muslims in the World of Islam</w:t>
      </w:r>
      <w:r w:rsidRPr="004B5BD5">
        <w:rPr>
          <w:rFonts w:ascii="Times New Roman" w:hAnsi="Times New Roman"/>
          <w:sz w:val="24"/>
        </w:rPr>
        <w:t xml:space="preserve">. Princeton, N.J: Princeton University Press, 2008. </w:t>
      </w:r>
      <w:r w:rsidRPr="004B5BD5">
        <w:rPr>
          <w:rStyle w:val="z3988"/>
          <w:rFonts w:ascii="Times New Roman" w:hAnsi="Times New Roman"/>
          <w:sz w:val="24"/>
        </w:rPr>
        <w:t> </w:t>
      </w:r>
    </w:p>
    <w:p w:rsidR="004B5BD5" w:rsidRDefault="004B5BD5" w:rsidP="00A123D1">
      <w:pPr>
        <w:pStyle w:val="NormalWeb"/>
        <w:spacing w:beforeLines="0" w:afterLines="0"/>
        <w:contextualSpacing/>
        <w:rPr>
          <w:rFonts w:ascii="Times New Roman" w:hAnsi="Times New Roman"/>
          <w:sz w:val="24"/>
        </w:rPr>
      </w:pPr>
      <w:r w:rsidRPr="004B5BD5">
        <w:rPr>
          <w:rFonts w:ascii="Times New Roman" w:hAnsi="Times New Roman"/>
          <w:sz w:val="24"/>
        </w:rPr>
        <w:t xml:space="preserve">Horner, Norman A. </w:t>
      </w:r>
      <w:r w:rsidRPr="004B5BD5">
        <w:rPr>
          <w:rFonts w:ascii="Times New Roman" w:hAnsi="Times New Roman"/>
          <w:i/>
          <w:iCs/>
          <w:sz w:val="24"/>
        </w:rPr>
        <w:t xml:space="preserve">A Guide to Christian Churches in the Middle East: Present-Day </w:t>
      </w:r>
      <w:r w:rsidR="00957F2C">
        <w:rPr>
          <w:rFonts w:ascii="Times New Roman" w:hAnsi="Times New Roman"/>
          <w:i/>
          <w:iCs/>
          <w:sz w:val="24"/>
        </w:rPr>
        <w:tab/>
      </w:r>
      <w:r w:rsidRPr="004B5BD5">
        <w:rPr>
          <w:rFonts w:ascii="Times New Roman" w:hAnsi="Times New Roman"/>
          <w:i/>
          <w:iCs/>
          <w:sz w:val="24"/>
        </w:rPr>
        <w:t>Christianity in the Middle East and North Africa</w:t>
      </w:r>
      <w:r w:rsidRPr="004B5BD5">
        <w:rPr>
          <w:rFonts w:ascii="Times New Roman" w:hAnsi="Times New Roman"/>
          <w:sz w:val="24"/>
        </w:rPr>
        <w:t xml:space="preserve">. Elkhart, IN: Mission Focus, </w:t>
      </w:r>
      <w:r w:rsidR="00957F2C">
        <w:rPr>
          <w:rFonts w:ascii="Times New Roman" w:hAnsi="Times New Roman"/>
          <w:sz w:val="24"/>
        </w:rPr>
        <w:tab/>
      </w:r>
      <w:r w:rsidRPr="004B5BD5">
        <w:rPr>
          <w:rFonts w:ascii="Times New Roman" w:hAnsi="Times New Roman"/>
          <w:sz w:val="24"/>
        </w:rPr>
        <w:t xml:space="preserve">1989. </w:t>
      </w:r>
      <w:r w:rsidRPr="004B5BD5">
        <w:rPr>
          <w:rStyle w:val="z3988"/>
          <w:rFonts w:ascii="Times New Roman" w:hAnsi="Times New Roman"/>
          <w:sz w:val="24"/>
        </w:rPr>
        <w:t> </w:t>
      </w:r>
    </w:p>
    <w:p w:rsidR="00331E07" w:rsidRDefault="00957F2C" w:rsidP="00A123D1">
      <w:pPr>
        <w:pStyle w:val="NormalWeb"/>
        <w:spacing w:beforeLines="0" w:afterLines="0"/>
        <w:ind w:hanging="720"/>
        <w:contextualSpacing/>
        <w:rPr>
          <w:rFonts w:ascii="Times New Roman" w:hAnsi="Times New Roman"/>
          <w:sz w:val="24"/>
        </w:rPr>
      </w:pPr>
      <w:r>
        <w:rPr>
          <w:rFonts w:ascii="Times New Roman" w:hAnsi="Times New Roman"/>
          <w:sz w:val="24"/>
        </w:rPr>
        <w:tab/>
      </w:r>
      <w:r w:rsidR="00331E07" w:rsidRPr="004B5BD5">
        <w:rPr>
          <w:rFonts w:ascii="Times New Roman" w:hAnsi="Times New Roman"/>
          <w:sz w:val="24"/>
        </w:rPr>
        <w:t xml:space="preserve">Jenkins, Philip. </w:t>
      </w:r>
      <w:r w:rsidR="00331E07" w:rsidRPr="004B5BD5">
        <w:rPr>
          <w:rFonts w:ascii="Times New Roman" w:hAnsi="Times New Roman"/>
          <w:i/>
          <w:iCs/>
          <w:sz w:val="24"/>
        </w:rPr>
        <w:t xml:space="preserve">The Lost History of Christianity: The Thousand-Year Golden Age of the </w:t>
      </w:r>
      <w:r>
        <w:rPr>
          <w:rFonts w:ascii="Times New Roman" w:hAnsi="Times New Roman"/>
          <w:i/>
          <w:iCs/>
          <w:sz w:val="24"/>
        </w:rPr>
        <w:tab/>
      </w:r>
      <w:r w:rsidR="00331E07" w:rsidRPr="004B5BD5">
        <w:rPr>
          <w:rFonts w:ascii="Times New Roman" w:hAnsi="Times New Roman"/>
          <w:i/>
          <w:iCs/>
          <w:sz w:val="24"/>
        </w:rPr>
        <w:t>Church in the Middle East, Africa, and Asia</w:t>
      </w:r>
      <w:r w:rsidR="00E919CF">
        <w:rPr>
          <w:rFonts w:ascii="Times New Roman" w:hAnsi="Times New Roman"/>
          <w:i/>
          <w:iCs/>
          <w:sz w:val="24"/>
        </w:rPr>
        <w:t xml:space="preserve"> </w:t>
      </w:r>
      <w:r w:rsidR="00331E07" w:rsidRPr="004B5BD5">
        <w:rPr>
          <w:rFonts w:ascii="Times New Roman" w:hAnsi="Times New Roman"/>
          <w:i/>
          <w:iCs/>
          <w:sz w:val="24"/>
        </w:rPr>
        <w:t>- and How It Died</w:t>
      </w:r>
      <w:r w:rsidR="00331E07">
        <w:rPr>
          <w:rFonts w:ascii="Times New Roman" w:hAnsi="Times New Roman"/>
          <w:sz w:val="24"/>
        </w:rPr>
        <w:t>.</w:t>
      </w:r>
      <w:r w:rsidR="00E919CF">
        <w:rPr>
          <w:rFonts w:ascii="Times New Roman" w:hAnsi="Times New Roman"/>
          <w:sz w:val="24"/>
        </w:rPr>
        <w:t xml:space="preserve"> New York: </w:t>
      </w:r>
      <w:r>
        <w:rPr>
          <w:rFonts w:ascii="Times New Roman" w:hAnsi="Times New Roman"/>
          <w:sz w:val="24"/>
        </w:rPr>
        <w:tab/>
      </w:r>
      <w:proofErr w:type="spellStart"/>
      <w:r w:rsidR="00E919CF">
        <w:rPr>
          <w:rFonts w:ascii="Times New Roman" w:hAnsi="Times New Roman"/>
          <w:sz w:val="24"/>
        </w:rPr>
        <w:t>HarperO</w:t>
      </w:r>
      <w:r w:rsidR="00331E07" w:rsidRPr="004B5BD5">
        <w:rPr>
          <w:rFonts w:ascii="Times New Roman" w:hAnsi="Times New Roman"/>
          <w:sz w:val="24"/>
        </w:rPr>
        <w:t>ne</w:t>
      </w:r>
      <w:proofErr w:type="spellEnd"/>
      <w:r w:rsidR="00331E07" w:rsidRPr="004B5BD5">
        <w:rPr>
          <w:rFonts w:ascii="Times New Roman" w:hAnsi="Times New Roman"/>
          <w:sz w:val="24"/>
        </w:rPr>
        <w:t xml:space="preserve">, 2008. </w:t>
      </w:r>
      <w:r w:rsidR="00331E07" w:rsidRPr="004B5BD5">
        <w:rPr>
          <w:rStyle w:val="z3988"/>
          <w:rFonts w:ascii="Times New Roman" w:hAnsi="Times New Roman"/>
          <w:sz w:val="24"/>
        </w:rPr>
        <w:t> </w:t>
      </w:r>
    </w:p>
    <w:p w:rsidR="00E37BFB" w:rsidRPr="004B5BD5" w:rsidRDefault="00E37BFB" w:rsidP="00A123D1">
      <w:pPr>
        <w:pStyle w:val="NormalWeb"/>
        <w:spacing w:beforeLines="0" w:afterLines="0"/>
        <w:contextualSpacing/>
        <w:rPr>
          <w:rFonts w:ascii="Times New Roman" w:hAnsi="Times New Roman"/>
          <w:sz w:val="24"/>
        </w:rPr>
      </w:pPr>
      <w:r w:rsidRPr="004B5BD5">
        <w:rPr>
          <w:rFonts w:ascii="Times New Roman" w:hAnsi="Times New Roman"/>
          <w:sz w:val="24"/>
        </w:rPr>
        <w:t xml:space="preserve">Johnson, Todd M., Kenneth R. Ross, and Sandra S. K. Lee, eds. </w:t>
      </w:r>
      <w:r w:rsidRPr="004B5BD5">
        <w:rPr>
          <w:rFonts w:ascii="Times New Roman" w:hAnsi="Times New Roman"/>
          <w:i/>
          <w:iCs/>
          <w:sz w:val="24"/>
        </w:rPr>
        <w:t xml:space="preserve">Atlas of Global </w:t>
      </w:r>
      <w:r w:rsidR="00957F2C">
        <w:rPr>
          <w:rFonts w:ascii="Times New Roman" w:hAnsi="Times New Roman"/>
          <w:i/>
          <w:iCs/>
          <w:sz w:val="24"/>
        </w:rPr>
        <w:tab/>
      </w:r>
      <w:r w:rsidRPr="004B5BD5">
        <w:rPr>
          <w:rFonts w:ascii="Times New Roman" w:hAnsi="Times New Roman"/>
          <w:i/>
          <w:iCs/>
          <w:sz w:val="24"/>
        </w:rPr>
        <w:t>Christianity, 1910-2010</w:t>
      </w:r>
      <w:r w:rsidRPr="004B5BD5">
        <w:rPr>
          <w:rFonts w:ascii="Times New Roman" w:hAnsi="Times New Roman"/>
          <w:sz w:val="24"/>
        </w:rPr>
        <w:t xml:space="preserve">. Edinburgh: Edinburgh University Press, 2009. </w:t>
      </w:r>
      <w:r w:rsidRPr="004B5BD5">
        <w:rPr>
          <w:rStyle w:val="z3988"/>
          <w:rFonts w:ascii="Times New Roman" w:hAnsi="Times New Roman"/>
          <w:sz w:val="24"/>
        </w:rPr>
        <w:t> </w:t>
      </w:r>
    </w:p>
    <w:p w:rsidR="00E37BFB" w:rsidRPr="004B5BD5" w:rsidRDefault="00D7623E"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McGuckin</w:t>
      </w:r>
      <w:proofErr w:type="spellEnd"/>
      <w:r w:rsidRPr="004B5BD5">
        <w:rPr>
          <w:rFonts w:ascii="Times New Roman" w:hAnsi="Times New Roman"/>
          <w:sz w:val="24"/>
        </w:rPr>
        <w:t xml:space="preserve">, John Anthony. </w:t>
      </w:r>
      <w:proofErr w:type="gramStart"/>
      <w:r w:rsidRPr="004B5BD5">
        <w:rPr>
          <w:rFonts w:ascii="Times New Roman" w:hAnsi="Times New Roman"/>
          <w:i/>
          <w:iCs/>
          <w:sz w:val="24"/>
        </w:rPr>
        <w:t>The Encyclopedia of Eastern Orthodox Christianity</w:t>
      </w:r>
      <w:r w:rsidRPr="004B5BD5">
        <w:rPr>
          <w:rFonts w:ascii="Times New Roman" w:hAnsi="Times New Roman"/>
          <w:sz w:val="24"/>
        </w:rPr>
        <w:t>.</w:t>
      </w:r>
      <w:proofErr w:type="gramEnd"/>
      <w:r w:rsidRPr="004B5BD5">
        <w:rPr>
          <w:rFonts w:ascii="Times New Roman" w:hAnsi="Times New Roman"/>
          <w:sz w:val="24"/>
        </w:rPr>
        <w:t xml:space="preserve"> </w:t>
      </w:r>
      <w:r>
        <w:rPr>
          <w:rFonts w:ascii="Times New Roman" w:hAnsi="Times New Roman"/>
          <w:sz w:val="24"/>
        </w:rPr>
        <w:t xml:space="preserve">Malden, </w:t>
      </w:r>
      <w:r w:rsidR="00957F2C">
        <w:rPr>
          <w:rFonts w:ascii="Times New Roman" w:hAnsi="Times New Roman"/>
          <w:sz w:val="24"/>
        </w:rPr>
        <w:tab/>
      </w:r>
      <w:r>
        <w:rPr>
          <w:rFonts w:ascii="Times New Roman" w:hAnsi="Times New Roman"/>
          <w:sz w:val="24"/>
        </w:rPr>
        <w:t>Mass.:</w:t>
      </w:r>
      <w:r w:rsidR="00E919CF">
        <w:rPr>
          <w:rFonts w:ascii="Times New Roman" w:hAnsi="Times New Roman"/>
          <w:sz w:val="24"/>
        </w:rPr>
        <w:t xml:space="preserve"> </w:t>
      </w:r>
      <w:r w:rsidRPr="004B5BD5">
        <w:rPr>
          <w:rFonts w:ascii="Times New Roman" w:hAnsi="Times New Roman"/>
          <w:sz w:val="24"/>
        </w:rPr>
        <w:t xml:space="preserve">Wiley-Blackwell, </w:t>
      </w:r>
      <w:r w:rsidR="0059117D">
        <w:rPr>
          <w:rFonts w:ascii="Times New Roman" w:hAnsi="Times New Roman"/>
          <w:sz w:val="24"/>
        </w:rPr>
        <w:t xml:space="preserve">forthcoming </w:t>
      </w:r>
      <w:r w:rsidRPr="004B5BD5">
        <w:rPr>
          <w:rFonts w:ascii="Times New Roman" w:hAnsi="Times New Roman"/>
          <w:sz w:val="24"/>
        </w:rPr>
        <w:t xml:space="preserve">2011. </w:t>
      </w:r>
      <w:r w:rsidRPr="004B5BD5">
        <w:rPr>
          <w:rStyle w:val="z3988"/>
          <w:rFonts w:ascii="Times New Roman" w:hAnsi="Times New Roman"/>
          <w:sz w:val="24"/>
        </w:rPr>
        <w:t> </w:t>
      </w:r>
    </w:p>
    <w:p w:rsidR="00E37BFB" w:rsidRPr="004B5BD5" w:rsidRDefault="00E37BFB" w:rsidP="00A123D1">
      <w:pPr>
        <w:pStyle w:val="NormalWeb"/>
        <w:spacing w:beforeLines="0" w:afterLines="0"/>
        <w:contextualSpacing/>
        <w:rPr>
          <w:rFonts w:ascii="Times New Roman" w:hAnsi="Times New Roman"/>
          <w:sz w:val="24"/>
        </w:rPr>
      </w:pPr>
      <w:proofErr w:type="spellStart"/>
      <w:proofErr w:type="gramStart"/>
      <w:r w:rsidRPr="004B5BD5">
        <w:rPr>
          <w:rFonts w:ascii="Times New Roman" w:hAnsi="Times New Roman"/>
          <w:sz w:val="24"/>
        </w:rPr>
        <w:t>O'Mahony</w:t>
      </w:r>
      <w:proofErr w:type="spellEnd"/>
      <w:r w:rsidRPr="004B5BD5">
        <w:rPr>
          <w:rFonts w:ascii="Times New Roman" w:hAnsi="Times New Roman"/>
          <w:sz w:val="24"/>
        </w:rPr>
        <w:t xml:space="preserve">, Anthony, and Emma </w:t>
      </w:r>
      <w:proofErr w:type="spellStart"/>
      <w:r w:rsidRPr="004B5BD5">
        <w:rPr>
          <w:rFonts w:ascii="Times New Roman" w:hAnsi="Times New Roman"/>
          <w:sz w:val="24"/>
        </w:rPr>
        <w:t>Loosley</w:t>
      </w:r>
      <w:proofErr w:type="spellEnd"/>
      <w:r w:rsidRPr="004B5BD5">
        <w:rPr>
          <w:rFonts w:ascii="Times New Roman" w:hAnsi="Times New Roman"/>
          <w:sz w:val="24"/>
        </w:rPr>
        <w:t xml:space="preserve">, eds. </w:t>
      </w:r>
      <w:r w:rsidRPr="004B5BD5">
        <w:rPr>
          <w:rFonts w:ascii="Times New Roman" w:hAnsi="Times New Roman"/>
          <w:i/>
          <w:iCs/>
          <w:sz w:val="24"/>
        </w:rPr>
        <w:t xml:space="preserve">Eastern Christianity in the Modern Middle </w:t>
      </w:r>
      <w:r w:rsidR="00957F2C">
        <w:rPr>
          <w:rFonts w:ascii="Times New Roman" w:hAnsi="Times New Roman"/>
          <w:i/>
          <w:iCs/>
          <w:sz w:val="24"/>
        </w:rPr>
        <w:tab/>
      </w:r>
      <w:r w:rsidRPr="004B5BD5">
        <w:rPr>
          <w:rFonts w:ascii="Times New Roman" w:hAnsi="Times New Roman"/>
          <w:i/>
          <w:iCs/>
          <w:sz w:val="24"/>
        </w:rPr>
        <w:t>East</w:t>
      </w:r>
      <w:r w:rsidRPr="004B5BD5">
        <w:rPr>
          <w:rFonts w:ascii="Times New Roman" w:hAnsi="Times New Roman"/>
          <w:sz w:val="24"/>
        </w:rPr>
        <w:t>.</w:t>
      </w:r>
      <w:proofErr w:type="gramEnd"/>
      <w:r w:rsidRPr="004B5BD5">
        <w:rPr>
          <w:rFonts w:ascii="Times New Roman" w:hAnsi="Times New Roman"/>
          <w:sz w:val="24"/>
        </w:rPr>
        <w:t xml:space="preserve"> London: </w:t>
      </w:r>
      <w:proofErr w:type="spellStart"/>
      <w:r w:rsidRPr="004B5BD5">
        <w:rPr>
          <w:rFonts w:ascii="Times New Roman" w:hAnsi="Times New Roman"/>
          <w:sz w:val="24"/>
        </w:rPr>
        <w:t>Routledge</w:t>
      </w:r>
      <w:proofErr w:type="spellEnd"/>
      <w:r w:rsidRPr="004B5BD5">
        <w:rPr>
          <w:rFonts w:ascii="Times New Roman" w:hAnsi="Times New Roman"/>
          <w:sz w:val="24"/>
        </w:rPr>
        <w:t xml:space="preserve">, 2010. </w:t>
      </w:r>
      <w:r w:rsidRPr="004B5BD5">
        <w:rPr>
          <w:rStyle w:val="z3988"/>
          <w:rFonts w:ascii="Times New Roman" w:hAnsi="Times New Roman"/>
          <w:sz w:val="24"/>
        </w:rPr>
        <w:t> </w:t>
      </w:r>
    </w:p>
    <w:p w:rsidR="00E37BFB" w:rsidRPr="004B5BD5" w:rsidRDefault="00E37BFB"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Pacini</w:t>
      </w:r>
      <w:proofErr w:type="spellEnd"/>
      <w:r w:rsidRPr="004B5BD5">
        <w:rPr>
          <w:rFonts w:ascii="Times New Roman" w:hAnsi="Times New Roman"/>
          <w:sz w:val="24"/>
        </w:rPr>
        <w:t xml:space="preserve">, Andrea, ed. </w:t>
      </w:r>
      <w:r w:rsidRPr="004B5BD5">
        <w:rPr>
          <w:rFonts w:ascii="Times New Roman" w:hAnsi="Times New Roman"/>
          <w:i/>
          <w:iCs/>
          <w:sz w:val="24"/>
        </w:rPr>
        <w:t xml:space="preserve">Christian Communities in the Arab Middle East: The Challenge of the </w:t>
      </w:r>
      <w:r w:rsidR="00957F2C">
        <w:rPr>
          <w:rFonts w:ascii="Times New Roman" w:hAnsi="Times New Roman"/>
          <w:i/>
          <w:iCs/>
          <w:sz w:val="24"/>
        </w:rPr>
        <w:tab/>
      </w:r>
      <w:r w:rsidRPr="004B5BD5">
        <w:rPr>
          <w:rFonts w:ascii="Times New Roman" w:hAnsi="Times New Roman"/>
          <w:i/>
          <w:iCs/>
          <w:sz w:val="24"/>
        </w:rPr>
        <w:t>Future</w:t>
      </w:r>
      <w:r w:rsidRPr="004B5BD5">
        <w:rPr>
          <w:rFonts w:ascii="Times New Roman" w:hAnsi="Times New Roman"/>
          <w:sz w:val="24"/>
        </w:rPr>
        <w:t xml:space="preserve">. Oxford: Clarendon Press, 1998. </w:t>
      </w:r>
      <w:r w:rsidRPr="004B5BD5">
        <w:rPr>
          <w:rStyle w:val="z3988"/>
          <w:rFonts w:ascii="Times New Roman" w:hAnsi="Times New Roman"/>
          <w:sz w:val="24"/>
        </w:rPr>
        <w:t> </w:t>
      </w:r>
    </w:p>
    <w:p w:rsidR="0059117D" w:rsidRPr="00BF057C" w:rsidRDefault="0059117D" w:rsidP="00A123D1">
      <w:pPr>
        <w:pStyle w:val="NormalWeb"/>
        <w:spacing w:beforeLines="0" w:afterLines="0"/>
        <w:contextualSpacing/>
        <w:rPr>
          <w:rFonts w:ascii="Times New Roman" w:hAnsi="Times New Roman"/>
          <w:sz w:val="24"/>
        </w:rPr>
      </w:pPr>
      <w:r w:rsidRPr="00BF057C">
        <w:rPr>
          <w:rFonts w:ascii="Times New Roman" w:hAnsi="Times New Roman"/>
          <w:sz w:val="24"/>
        </w:rPr>
        <w:t xml:space="preserve">Parry, Kenneth, </w:t>
      </w:r>
      <w:proofErr w:type="gramStart"/>
      <w:r w:rsidRPr="00BF057C">
        <w:rPr>
          <w:rFonts w:ascii="Times New Roman" w:hAnsi="Times New Roman"/>
          <w:sz w:val="24"/>
        </w:rPr>
        <w:t>ed</w:t>
      </w:r>
      <w:proofErr w:type="gramEnd"/>
      <w:r w:rsidRPr="00BF057C">
        <w:rPr>
          <w:rFonts w:ascii="Times New Roman" w:hAnsi="Times New Roman"/>
          <w:sz w:val="24"/>
        </w:rPr>
        <w:t xml:space="preserve">. </w:t>
      </w:r>
      <w:proofErr w:type="gramStart"/>
      <w:r w:rsidRPr="00BF057C">
        <w:rPr>
          <w:rFonts w:ascii="Times New Roman" w:hAnsi="Times New Roman"/>
          <w:i/>
          <w:iCs/>
          <w:sz w:val="24"/>
        </w:rPr>
        <w:t>The Blackwell Companion to Eastern Christianity</w:t>
      </w:r>
      <w:r w:rsidR="0038567C">
        <w:rPr>
          <w:rFonts w:ascii="Times New Roman" w:hAnsi="Times New Roman"/>
          <w:sz w:val="24"/>
        </w:rPr>
        <w:t>.</w:t>
      </w:r>
      <w:proofErr w:type="gramEnd"/>
      <w:r w:rsidR="0038567C">
        <w:rPr>
          <w:rFonts w:ascii="Times New Roman" w:hAnsi="Times New Roman"/>
          <w:sz w:val="24"/>
        </w:rPr>
        <w:t xml:space="preserve"> Malden, Mass.</w:t>
      </w:r>
      <w:r>
        <w:rPr>
          <w:rFonts w:ascii="Times New Roman" w:hAnsi="Times New Roman"/>
          <w:sz w:val="24"/>
        </w:rPr>
        <w:t xml:space="preserve">: </w:t>
      </w:r>
      <w:r w:rsidR="00957F2C">
        <w:rPr>
          <w:rFonts w:ascii="Times New Roman" w:hAnsi="Times New Roman"/>
          <w:sz w:val="24"/>
        </w:rPr>
        <w:tab/>
      </w:r>
      <w:r>
        <w:rPr>
          <w:rFonts w:ascii="Times New Roman" w:hAnsi="Times New Roman"/>
          <w:sz w:val="24"/>
        </w:rPr>
        <w:t>Blackwell</w:t>
      </w:r>
      <w:r w:rsidRPr="00BF057C">
        <w:rPr>
          <w:rFonts w:ascii="Times New Roman" w:hAnsi="Times New Roman"/>
          <w:sz w:val="24"/>
        </w:rPr>
        <w:t xml:space="preserve">, 2007. </w:t>
      </w:r>
      <w:r w:rsidRPr="00BF057C">
        <w:rPr>
          <w:rStyle w:val="z3988"/>
          <w:rFonts w:ascii="Times New Roman" w:hAnsi="Times New Roman"/>
          <w:sz w:val="24"/>
        </w:rPr>
        <w:t> </w:t>
      </w:r>
    </w:p>
    <w:p w:rsidR="00E37BFB" w:rsidRPr="004B5BD5" w:rsidRDefault="0038567C" w:rsidP="00A123D1">
      <w:pPr>
        <w:pStyle w:val="NormalWeb"/>
        <w:spacing w:beforeLines="0" w:afterLines="0"/>
        <w:contextualSpacing/>
        <w:rPr>
          <w:rFonts w:ascii="Times New Roman" w:hAnsi="Times New Roman"/>
          <w:sz w:val="24"/>
        </w:rPr>
      </w:pPr>
      <w:r w:rsidRPr="00BF057C">
        <w:rPr>
          <w:rFonts w:ascii="Times New Roman" w:hAnsi="Times New Roman"/>
          <w:sz w:val="24"/>
        </w:rPr>
        <w:t>Parry, Kenneth, and John R</w:t>
      </w:r>
      <w:r w:rsidR="00E919CF">
        <w:rPr>
          <w:rFonts w:ascii="Times New Roman" w:hAnsi="Times New Roman"/>
          <w:sz w:val="24"/>
        </w:rPr>
        <w:t>.</w:t>
      </w:r>
      <w:r w:rsidRPr="00BF057C">
        <w:rPr>
          <w:rFonts w:ascii="Times New Roman" w:hAnsi="Times New Roman"/>
          <w:sz w:val="24"/>
        </w:rPr>
        <w:t xml:space="preserve"> </w:t>
      </w:r>
      <w:proofErr w:type="spellStart"/>
      <w:r w:rsidRPr="00BF057C">
        <w:rPr>
          <w:rFonts w:ascii="Times New Roman" w:hAnsi="Times New Roman"/>
          <w:sz w:val="24"/>
        </w:rPr>
        <w:t>Hinnells</w:t>
      </w:r>
      <w:proofErr w:type="spellEnd"/>
      <w:r w:rsidRPr="00BF057C">
        <w:rPr>
          <w:rFonts w:ascii="Times New Roman" w:hAnsi="Times New Roman"/>
          <w:sz w:val="24"/>
        </w:rPr>
        <w:t xml:space="preserve">, </w:t>
      </w:r>
      <w:proofErr w:type="gramStart"/>
      <w:r w:rsidRPr="00BF057C">
        <w:rPr>
          <w:rFonts w:ascii="Times New Roman" w:hAnsi="Times New Roman"/>
          <w:sz w:val="24"/>
        </w:rPr>
        <w:t>eds</w:t>
      </w:r>
      <w:proofErr w:type="gramEnd"/>
      <w:r w:rsidRPr="00BF057C">
        <w:rPr>
          <w:rFonts w:ascii="Times New Roman" w:hAnsi="Times New Roman"/>
          <w:sz w:val="24"/>
        </w:rPr>
        <w:t xml:space="preserve">. </w:t>
      </w:r>
      <w:proofErr w:type="gramStart"/>
      <w:r w:rsidRPr="00BF057C">
        <w:rPr>
          <w:rFonts w:ascii="Times New Roman" w:hAnsi="Times New Roman"/>
          <w:i/>
          <w:iCs/>
          <w:sz w:val="24"/>
        </w:rPr>
        <w:t xml:space="preserve">The Blackwell Dictionary of Eastern </w:t>
      </w:r>
      <w:r w:rsidR="00957F2C">
        <w:rPr>
          <w:rFonts w:ascii="Times New Roman" w:hAnsi="Times New Roman"/>
          <w:i/>
          <w:iCs/>
          <w:sz w:val="24"/>
        </w:rPr>
        <w:tab/>
      </w:r>
      <w:r w:rsidRPr="00BF057C">
        <w:rPr>
          <w:rFonts w:ascii="Times New Roman" w:hAnsi="Times New Roman"/>
          <w:i/>
          <w:iCs/>
          <w:sz w:val="24"/>
        </w:rPr>
        <w:t>Christianity</w:t>
      </w:r>
      <w:r w:rsidR="00E919CF">
        <w:rPr>
          <w:rFonts w:ascii="Times New Roman" w:hAnsi="Times New Roman"/>
          <w:sz w:val="24"/>
        </w:rPr>
        <w:t>.</w:t>
      </w:r>
      <w:proofErr w:type="gramEnd"/>
      <w:r w:rsidR="00E919CF">
        <w:rPr>
          <w:rFonts w:ascii="Times New Roman" w:hAnsi="Times New Roman"/>
          <w:sz w:val="24"/>
        </w:rPr>
        <w:t xml:space="preserve"> Oxford</w:t>
      </w:r>
      <w:r w:rsidRPr="00BF057C">
        <w:rPr>
          <w:rFonts w:ascii="Times New Roman" w:hAnsi="Times New Roman"/>
          <w:sz w:val="24"/>
        </w:rPr>
        <w:t xml:space="preserve">: Blackwell Publishers, 1999. </w:t>
      </w:r>
      <w:r w:rsidRPr="00BF057C">
        <w:rPr>
          <w:rStyle w:val="z3988"/>
          <w:rFonts w:ascii="Times New Roman" w:hAnsi="Times New Roman"/>
          <w:sz w:val="24"/>
        </w:rPr>
        <w:t> </w:t>
      </w:r>
      <w:r w:rsidR="00957F2C">
        <w:rPr>
          <w:rStyle w:val="z3988"/>
          <w:rFonts w:ascii="Times New Roman" w:hAnsi="Times New Roman"/>
          <w:sz w:val="24"/>
        </w:rPr>
        <w:tab/>
      </w:r>
    </w:p>
    <w:p w:rsidR="005E763A" w:rsidRPr="005E763A" w:rsidRDefault="005E763A" w:rsidP="00A123D1">
      <w:pPr>
        <w:pStyle w:val="NormalWeb"/>
        <w:spacing w:beforeLines="0" w:afterLines="0"/>
        <w:contextualSpacing/>
        <w:rPr>
          <w:rFonts w:ascii="Times New Roman" w:hAnsi="Times New Roman"/>
          <w:sz w:val="24"/>
          <w:szCs w:val="24"/>
        </w:rPr>
      </w:pPr>
      <w:proofErr w:type="spellStart"/>
      <w:r w:rsidRPr="005E763A">
        <w:rPr>
          <w:sz w:val="24"/>
          <w:szCs w:val="24"/>
        </w:rPr>
        <w:t>Sennott</w:t>
      </w:r>
      <w:proofErr w:type="spellEnd"/>
      <w:r>
        <w:rPr>
          <w:sz w:val="24"/>
          <w:szCs w:val="24"/>
        </w:rPr>
        <w:t>, Charles M.</w:t>
      </w:r>
      <w:r w:rsidRPr="005E763A">
        <w:rPr>
          <w:sz w:val="24"/>
          <w:szCs w:val="24"/>
        </w:rPr>
        <w:t xml:space="preserve"> </w:t>
      </w:r>
      <w:r w:rsidRPr="005E763A">
        <w:rPr>
          <w:i/>
          <w:sz w:val="24"/>
          <w:szCs w:val="24"/>
        </w:rPr>
        <w:t xml:space="preserve">The Body and the Blood: The Middle East’s Vanishing Christians </w:t>
      </w:r>
      <w:r>
        <w:rPr>
          <w:i/>
          <w:sz w:val="24"/>
          <w:szCs w:val="24"/>
        </w:rPr>
        <w:tab/>
        <w:t xml:space="preserve">and the Possibility of Peace. </w:t>
      </w:r>
      <w:r>
        <w:rPr>
          <w:sz w:val="24"/>
          <w:szCs w:val="24"/>
        </w:rPr>
        <w:t>New York: Public Affairs, 2001.</w:t>
      </w:r>
    </w:p>
    <w:p w:rsidR="006C6E71" w:rsidRPr="004B5BD5" w:rsidRDefault="006C6E71" w:rsidP="00A123D1">
      <w:pPr>
        <w:pStyle w:val="NormalWeb"/>
        <w:spacing w:beforeLines="0" w:afterLines="0"/>
        <w:contextualSpacing/>
        <w:rPr>
          <w:rFonts w:ascii="Times New Roman" w:hAnsi="Times New Roman"/>
          <w:sz w:val="24"/>
        </w:rPr>
      </w:pPr>
      <w:proofErr w:type="spellStart"/>
      <w:r w:rsidRPr="004B5BD5">
        <w:rPr>
          <w:rFonts w:ascii="Times New Roman" w:hAnsi="Times New Roman"/>
          <w:sz w:val="24"/>
        </w:rPr>
        <w:t>Wessels</w:t>
      </w:r>
      <w:proofErr w:type="spellEnd"/>
      <w:r w:rsidRPr="004B5BD5">
        <w:rPr>
          <w:rFonts w:ascii="Times New Roman" w:hAnsi="Times New Roman"/>
          <w:sz w:val="24"/>
        </w:rPr>
        <w:t xml:space="preserve">, </w:t>
      </w:r>
      <w:proofErr w:type="spellStart"/>
      <w:r w:rsidRPr="004B5BD5">
        <w:rPr>
          <w:rFonts w:ascii="Times New Roman" w:hAnsi="Times New Roman"/>
          <w:sz w:val="24"/>
        </w:rPr>
        <w:t>Antonie</w:t>
      </w:r>
      <w:proofErr w:type="spellEnd"/>
      <w:r w:rsidRPr="004B5BD5">
        <w:rPr>
          <w:rFonts w:ascii="Times New Roman" w:hAnsi="Times New Roman"/>
          <w:sz w:val="24"/>
        </w:rPr>
        <w:t xml:space="preserve">. </w:t>
      </w:r>
      <w:r w:rsidRPr="004B5BD5">
        <w:rPr>
          <w:rFonts w:ascii="Times New Roman" w:hAnsi="Times New Roman"/>
          <w:i/>
          <w:iCs/>
          <w:sz w:val="24"/>
        </w:rPr>
        <w:t>Arab and Christian</w:t>
      </w:r>
      <w:proofErr w:type="gramStart"/>
      <w:r w:rsidRPr="004B5BD5">
        <w:rPr>
          <w:rFonts w:ascii="Times New Roman" w:hAnsi="Times New Roman"/>
          <w:i/>
          <w:iCs/>
          <w:sz w:val="24"/>
        </w:rPr>
        <w:t>?:</w:t>
      </w:r>
      <w:proofErr w:type="gramEnd"/>
      <w:r w:rsidRPr="004B5BD5">
        <w:rPr>
          <w:rFonts w:ascii="Times New Roman" w:hAnsi="Times New Roman"/>
          <w:i/>
          <w:iCs/>
          <w:sz w:val="24"/>
        </w:rPr>
        <w:t xml:space="preserve"> Christians in the Middle East</w:t>
      </w:r>
      <w:r w:rsidRPr="004B5BD5">
        <w:rPr>
          <w:rFonts w:ascii="Times New Roman" w:hAnsi="Times New Roman"/>
          <w:sz w:val="24"/>
        </w:rPr>
        <w:t xml:space="preserve">. </w:t>
      </w:r>
      <w:proofErr w:type="spellStart"/>
      <w:r w:rsidRPr="004B5BD5">
        <w:rPr>
          <w:rFonts w:ascii="Times New Roman" w:hAnsi="Times New Roman"/>
          <w:sz w:val="24"/>
        </w:rPr>
        <w:t>Kampen</w:t>
      </w:r>
      <w:proofErr w:type="spellEnd"/>
      <w:r w:rsidRPr="004B5BD5">
        <w:rPr>
          <w:rFonts w:ascii="Times New Roman" w:hAnsi="Times New Roman"/>
          <w:sz w:val="24"/>
        </w:rPr>
        <w:t xml:space="preserve">: Pharos, </w:t>
      </w:r>
      <w:r w:rsidR="00957F2C">
        <w:rPr>
          <w:rFonts w:ascii="Times New Roman" w:hAnsi="Times New Roman"/>
          <w:sz w:val="24"/>
        </w:rPr>
        <w:tab/>
      </w:r>
      <w:r w:rsidRPr="004B5BD5">
        <w:rPr>
          <w:rFonts w:ascii="Times New Roman" w:hAnsi="Times New Roman"/>
          <w:sz w:val="24"/>
        </w:rPr>
        <w:t xml:space="preserve">1995. </w:t>
      </w:r>
      <w:r w:rsidRPr="004B5BD5">
        <w:rPr>
          <w:rStyle w:val="z3988"/>
          <w:rFonts w:ascii="Times New Roman" w:hAnsi="Times New Roman"/>
          <w:sz w:val="24"/>
        </w:rPr>
        <w:t> </w:t>
      </w:r>
    </w:p>
    <w:p w:rsidR="00E37BFB" w:rsidRPr="004B5BD5" w:rsidRDefault="00E37BFB" w:rsidP="00A123D1">
      <w:pPr>
        <w:pStyle w:val="NormalWeb"/>
        <w:spacing w:beforeLines="0" w:afterLines="0"/>
        <w:contextualSpacing/>
        <w:rPr>
          <w:rStyle w:val="z3988"/>
        </w:rPr>
      </w:pPr>
    </w:p>
    <w:p w:rsidR="00BF057C" w:rsidRPr="00BF057C" w:rsidRDefault="00BF057C" w:rsidP="00A123D1">
      <w:pPr>
        <w:pStyle w:val="NormalWeb"/>
        <w:spacing w:beforeLines="0" w:afterLines="0"/>
        <w:ind w:hanging="720"/>
        <w:contextualSpacing/>
        <w:rPr>
          <w:rFonts w:ascii="Times New Roman" w:hAnsi="Times New Roman"/>
          <w:sz w:val="24"/>
        </w:rPr>
      </w:pPr>
    </w:p>
    <w:p w:rsidR="000B55EE" w:rsidRPr="004B5BD5" w:rsidRDefault="000B55EE" w:rsidP="00BB2D28">
      <w:pPr>
        <w:ind w:firstLine="720"/>
        <w:contextualSpacing/>
      </w:pPr>
    </w:p>
    <w:sectPr w:rsidR="000B55EE" w:rsidRPr="004B5BD5" w:rsidSect="00143718">
      <w:headerReference w:type="even"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30" w:rsidRDefault="00AA4630">
      <w:pPr>
        <w:spacing w:after="0"/>
      </w:pPr>
      <w:r>
        <w:separator/>
      </w:r>
    </w:p>
  </w:endnote>
  <w:endnote w:type="continuationSeparator" w:id="0">
    <w:p w:rsidR="00AA4630" w:rsidRDefault="00AA4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28" w:rsidRDefault="00464042" w:rsidP="00BB2D28">
    <w:pPr>
      <w:pStyle w:val="Footer"/>
      <w:framePr w:wrap="around" w:vAnchor="text" w:hAnchor="margin" w:xAlign="center" w:y="1"/>
      <w:rPr>
        <w:rStyle w:val="PageNumber"/>
      </w:rPr>
    </w:pPr>
    <w:r>
      <w:rPr>
        <w:rStyle w:val="PageNumber"/>
      </w:rPr>
      <w:fldChar w:fldCharType="begin"/>
    </w:r>
    <w:r w:rsidR="00BB2D28">
      <w:rPr>
        <w:rStyle w:val="PageNumber"/>
      </w:rPr>
      <w:instrText xml:space="preserve">PAGE  </w:instrText>
    </w:r>
    <w:r>
      <w:rPr>
        <w:rStyle w:val="PageNumber"/>
      </w:rPr>
      <w:fldChar w:fldCharType="end"/>
    </w:r>
  </w:p>
  <w:p w:rsidR="00BB2D28" w:rsidRDefault="00BB2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28" w:rsidRDefault="00464042" w:rsidP="00BB2D28">
    <w:pPr>
      <w:pStyle w:val="Footer"/>
      <w:framePr w:wrap="around" w:vAnchor="text" w:hAnchor="margin" w:xAlign="center" w:y="1"/>
      <w:rPr>
        <w:rStyle w:val="PageNumber"/>
      </w:rPr>
    </w:pPr>
    <w:r>
      <w:rPr>
        <w:rStyle w:val="PageNumber"/>
      </w:rPr>
      <w:fldChar w:fldCharType="begin"/>
    </w:r>
    <w:r w:rsidR="00BB2D28">
      <w:rPr>
        <w:rStyle w:val="PageNumber"/>
      </w:rPr>
      <w:instrText xml:space="preserve">PAGE  </w:instrText>
    </w:r>
    <w:r>
      <w:rPr>
        <w:rStyle w:val="PageNumber"/>
      </w:rPr>
      <w:fldChar w:fldCharType="separate"/>
    </w:r>
    <w:r w:rsidR="000021FE">
      <w:rPr>
        <w:rStyle w:val="PageNumber"/>
        <w:noProof/>
      </w:rPr>
      <w:t>6</w:t>
    </w:r>
    <w:r>
      <w:rPr>
        <w:rStyle w:val="PageNumber"/>
      </w:rPr>
      <w:fldChar w:fldCharType="end"/>
    </w:r>
  </w:p>
  <w:p w:rsidR="00BB2D28" w:rsidRDefault="00BB2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30" w:rsidRDefault="00AA4630">
      <w:pPr>
        <w:spacing w:after="0"/>
      </w:pPr>
      <w:r>
        <w:separator/>
      </w:r>
    </w:p>
  </w:footnote>
  <w:footnote w:type="continuationSeparator" w:id="0">
    <w:p w:rsidR="00AA4630" w:rsidRDefault="00AA4630">
      <w:pPr>
        <w:spacing w:after="0"/>
      </w:pPr>
      <w:r>
        <w:continuationSeparator/>
      </w:r>
    </w:p>
  </w:footnote>
  <w:footnote w:id="1">
    <w:p w:rsidR="00BB2D28" w:rsidRPr="00053079" w:rsidRDefault="00BB2D28" w:rsidP="000B55EE">
      <w:pPr>
        <w:pStyle w:val="FootnoteText"/>
        <w:contextualSpacing/>
        <w:rPr>
          <w:sz w:val="20"/>
        </w:rPr>
      </w:pPr>
      <w:r w:rsidRPr="00053079">
        <w:rPr>
          <w:rStyle w:val="FootnoteReference"/>
          <w:sz w:val="20"/>
        </w:rPr>
        <w:footnoteRef/>
      </w:r>
      <w:r>
        <w:rPr>
          <w:sz w:val="20"/>
        </w:rPr>
        <w:t xml:space="preserve"> Other terms </w:t>
      </w:r>
      <w:r w:rsidRPr="00053079">
        <w:rPr>
          <w:sz w:val="20"/>
        </w:rPr>
        <w:t xml:space="preserve">still sometimes used include the Near East, the Levant, and the </w:t>
      </w:r>
      <w:proofErr w:type="spellStart"/>
      <w:r w:rsidRPr="00053079">
        <w:rPr>
          <w:sz w:val="20"/>
        </w:rPr>
        <w:t>Mashreq</w:t>
      </w:r>
      <w:proofErr w:type="spellEnd"/>
      <w:r w:rsidRPr="00053079">
        <w:rPr>
          <w:i/>
          <w:sz w:val="20"/>
        </w:rPr>
        <w:t xml:space="preserve"> </w:t>
      </w:r>
      <w:r>
        <w:rPr>
          <w:sz w:val="20"/>
        </w:rPr>
        <w:t>(Arabic</w:t>
      </w:r>
      <w:r w:rsidRPr="00053079">
        <w:rPr>
          <w:sz w:val="20"/>
        </w:rPr>
        <w:t xml:space="preserve"> for “east</w:t>
      </w:r>
      <w:r>
        <w:rPr>
          <w:sz w:val="20"/>
        </w:rPr>
        <w:t>,</w:t>
      </w:r>
      <w:r w:rsidRPr="00053079">
        <w:rPr>
          <w:sz w:val="20"/>
        </w:rPr>
        <w:t>”</w:t>
      </w:r>
      <w:r>
        <w:rPr>
          <w:sz w:val="20"/>
        </w:rPr>
        <w:t xml:space="preserve"> as distinguished from the </w:t>
      </w:r>
      <w:r w:rsidRPr="00053079">
        <w:rPr>
          <w:sz w:val="20"/>
        </w:rPr>
        <w:t>Maghreb</w:t>
      </w:r>
      <w:r>
        <w:rPr>
          <w:i/>
          <w:sz w:val="20"/>
        </w:rPr>
        <w:t xml:space="preserve">, </w:t>
      </w:r>
      <w:r>
        <w:rPr>
          <w:sz w:val="20"/>
        </w:rPr>
        <w:t>or “west” – the North African countries west of Egypt and which are overwhelmingly Muslim</w:t>
      </w:r>
      <w:r w:rsidRPr="00053079">
        <w:rPr>
          <w:sz w:val="20"/>
        </w:rPr>
        <w:t>).</w:t>
      </w:r>
      <w:r w:rsidRPr="00053079">
        <w:rPr>
          <w:i/>
          <w:sz w:val="20"/>
        </w:rPr>
        <w:t xml:space="preserve"> </w:t>
      </w:r>
      <w:r w:rsidRPr="00053079">
        <w:rPr>
          <w:sz w:val="20"/>
        </w:rPr>
        <w:t>Many discussions of Christian Churches in the Middle East, including some mentioned herein</w:t>
      </w:r>
      <w:r>
        <w:rPr>
          <w:sz w:val="20"/>
        </w:rPr>
        <w:t xml:space="preserve">, </w:t>
      </w:r>
      <w:r w:rsidRPr="00053079">
        <w:rPr>
          <w:sz w:val="20"/>
        </w:rPr>
        <w:t xml:space="preserve">also include Turkey, Armenia, Georgia, Iran, Ethiopia, and Eritrea. </w:t>
      </w:r>
      <w:r>
        <w:rPr>
          <w:sz w:val="20"/>
        </w:rPr>
        <w:t>The national and regional boundaries do not coincide neatly with cultural and ecclesial realities. For example, the geopolitical puzzle pieces of southeastern Turkey, northern Syria, northern Iraq, and northwestern Iran were for many centuries a more unified cultural and religious zone than at present, a fact that continues to influence the situation of Christians in</w:t>
      </w:r>
      <w:r w:rsidR="0013444F">
        <w:rPr>
          <w:sz w:val="20"/>
        </w:rPr>
        <w:t xml:space="preserve"> the region. The main focus of this essay</w:t>
      </w:r>
      <w:r>
        <w:rPr>
          <w:sz w:val="20"/>
        </w:rPr>
        <w:t xml:space="preserve"> will be</w:t>
      </w:r>
      <w:r w:rsidRPr="00053079">
        <w:rPr>
          <w:sz w:val="20"/>
        </w:rPr>
        <w:t xml:space="preserve"> Arab</w:t>
      </w:r>
      <w:r>
        <w:rPr>
          <w:sz w:val="20"/>
        </w:rPr>
        <w:t>, as well as</w:t>
      </w:r>
      <w:r w:rsidRPr="00053079">
        <w:rPr>
          <w:sz w:val="20"/>
        </w:rPr>
        <w:t xml:space="preserve"> </w:t>
      </w:r>
      <w:r>
        <w:rPr>
          <w:sz w:val="20"/>
        </w:rPr>
        <w:t xml:space="preserve">Greek </w:t>
      </w:r>
      <w:r w:rsidRPr="00053079">
        <w:rPr>
          <w:sz w:val="20"/>
        </w:rPr>
        <w:t>and Armenian</w:t>
      </w:r>
      <w:r>
        <w:rPr>
          <w:sz w:val="20"/>
        </w:rPr>
        <w:t>,</w:t>
      </w:r>
      <w:r w:rsidRPr="00053079">
        <w:rPr>
          <w:sz w:val="20"/>
        </w:rPr>
        <w:t xml:space="preserve"> traditions.</w:t>
      </w:r>
    </w:p>
  </w:footnote>
  <w:footnote w:id="2">
    <w:p w:rsidR="00BB2D28" w:rsidRDefault="00BB2D28">
      <w:pPr>
        <w:pStyle w:val="FootnoteText"/>
        <w:contextualSpacing/>
        <w:rPr>
          <w:sz w:val="20"/>
        </w:rPr>
      </w:pPr>
      <w:r w:rsidRPr="00053079">
        <w:rPr>
          <w:rStyle w:val="FootnoteReference"/>
          <w:sz w:val="20"/>
        </w:rPr>
        <w:footnoteRef/>
      </w:r>
      <w:r w:rsidRPr="00053079">
        <w:rPr>
          <w:sz w:val="20"/>
        </w:rPr>
        <w:t xml:space="preserve"> </w:t>
      </w:r>
      <w:proofErr w:type="spellStart"/>
      <w:r>
        <w:rPr>
          <w:sz w:val="20"/>
        </w:rPr>
        <w:t>Pacini</w:t>
      </w:r>
      <w:proofErr w:type="spellEnd"/>
      <w:r>
        <w:rPr>
          <w:sz w:val="20"/>
        </w:rPr>
        <w:t xml:space="preserve"> (see below) roughly agrees on the overall percentage (6.3%), while differing quite significantly in some particulars. A key problem is determining the precise number of Copts in Egypt, by far the single largest indigenous Christian group. Figures have ranged from 3,000,000 to more than 10,000,000. In Egypt as elsewhere, there is a tendency for minority groups to overstate, and for governments to understate, the demographic facts. This, in addition to significant migrations of Christians from Iraq, is another reason why Christian population numbers are notoriously tentative. </w:t>
      </w:r>
    </w:p>
    <w:p w:rsidR="00BB2D28" w:rsidRDefault="00BB2D28">
      <w:pPr>
        <w:pStyle w:val="FootnoteText"/>
        <w:contextualSpacing/>
        <w:rPr>
          <w:sz w:val="20"/>
        </w:rPr>
      </w:pPr>
    </w:p>
    <w:p w:rsidR="00BB2D28" w:rsidRPr="00053079" w:rsidRDefault="00BB2D28">
      <w:pPr>
        <w:pStyle w:val="FootnoteText"/>
        <w:contextualSpacing/>
        <w:rPr>
          <w:sz w:val="20"/>
        </w:rPr>
      </w:pPr>
    </w:p>
  </w:footnote>
  <w:footnote w:id="3">
    <w:p w:rsidR="009A5729" w:rsidRPr="00295BD9" w:rsidRDefault="009A5729" w:rsidP="009A5729">
      <w:pPr>
        <w:spacing w:after="0"/>
        <w:rPr>
          <w:rFonts w:ascii="Times" w:hAnsi="Times"/>
          <w:sz w:val="20"/>
          <w:szCs w:val="20"/>
        </w:rPr>
      </w:pPr>
      <w:r w:rsidRPr="0096369D">
        <w:rPr>
          <w:rStyle w:val="FootnoteReference"/>
          <w:sz w:val="20"/>
        </w:rPr>
        <w:footnoteRef/>
      </w:r>
      <w:r w:rsidRPr="0096369D">
        <w:rPr>
          <w:sz w:val="20"/>
        </w:rPr>
        <w:t xml:space="preserve"> </w:t>
      </w:r>
      <w:r>
        <w:rPr>
          <w:sz w:val="20"/>
        </w:rPr>
        <w:t xml:space="preserve">Sebastian </w:t>
      </w:r>
      <w:r w:rsidRPr="0096369D">
        <w:rPr>
          <w:sz w:val="20"/>
        </w:rPr>
        <w:t xml:space="preserve">Brock, </w:t>
      </w:r>
      <w:r>
        <w:rPr>
          <w:sz w:val="20"/>
        </w:rPr>
        <w:t xml:space="preserve">“The Syrian Orthodox Church in the Modern Middle East,” in </w:t>
      </w:r>
      <w:r>
        <w:rPr>
          <w:i/>
          <w:sz w:val="20"/>
        </w:rPr>
        <w:t>Eastern Christianity in the Modern Middle East</w:t>
      </w:r>
      <w:r>
        <w:rPr>
          <w:sz w:val="20"/>
        </w:rPr>
        <w:t xml:space="preserve">, eds. Anthony </w:t>
      </w:r>
      <w:proofErr w:type="spellStart"/>
      <w:r>
        <w:rPr>
          <w:sz w:val="20"/>
        </w:rPr>
        <w:t>O’Mahony</w:t>
      </w:r>
      <w:proofErr w:type="spellEnd"/>
      <w:r>
        <w:rPr>
          <w:sz w:val="20"/>
        </w:rPr>
        <w:t xml:space="preserve"> and Emma </w:t>
      </w:r>
      <w:proofErr w:type="spellStart"/>
      <w:r>
        <w:rPr>
          <w:sz w:val="20"/>
        </w:rPr>
        <w:t>Loosley</w:t>
      </w:r>
      <w:proofErr w:type="spellEnd"/>
      <w:r>
        <w:rPr>
          <w:sz w:val="20"/>
        </w:rPr>
        <w:t xml:space="preserve"> (</w:t>
      </w:r>
      <w:r>
        <w:rPr>
          <w:rFonts w:ascii="Times" w:hAnsi="Times"/>
          <w:sz w:val="20"/>
          <w:szCs w:val="20"/>
        </w:rPr>
        <w:t>London</w:t>
      </w:r>
      <w:r w:rsidRPr="00295BD9">
        <w:rPr>
          <w:rFonts w:ascii="Times" w:hAnsi="Times"/>
          <w:sz w:val="20"/>
          <w:szCs w:val="20"/>
        </w:rPr>
        <w:t xml:space="preserve">: </w:t>
      </w:r>
      <w:proofErr w:type="spellStart"/>
      <w:r w:rsidRPr="00295BD9">
        <w:rPr>
          <w:rFonts w:ascii="Times" w:hAnsi="Times"/>
          <w:sz w:val="20"/>
          <w:szCs w:val="20"/>
        </w:rPr>
        <w:t>Routledge</w:t>
      </w:r>
      <w:proofErr w:type="spellEnd"/>
      <w:r w:rsidRPr="00295BD9">
        <w:rPr>
          <w:rFonts w:ascii="Times" w:hAnsi="Times"/>
          <w:sz w:val="20"/>
          <w:szCs w:val="20"/>
        </w:rPr>
        <w:t>, 2010</w:t>
      </w:r>
      <w:r>
        <w:rPr>
          <w:rFonts w:ascii="Times" w:hAnsi="Times"/>
          <w:sz w:val="20"/>
          <w:szCs w:val="20"/>
        </w:rPr>
        <w:t xml:space="preserve">), </w:t>
      </w:r>
      <w:r w:rsidRPr="0096369D">
        <w:rPr>
          <w:sz w:val="20"/>
        </w:rPr>
        <w:t>17.</w:t>
      </w:r>
    </w:p>
  </w:footnote>
  <w:footnote w:id="4">
    <w:p w:rsidR="00BB2D28" w:rsidRDefault="00BB2D28">
      <w:pPr>
        <w:pStyle w:val="FootnoteText"/>
      </w:pPr>
      <w:r w:rsidRPr="0096369D">
        <w:rPr>
          <w:rStyle w:val="FootnoteReference"/>
          <w:sz w:val="20"/>
        </w:rPr>
        <w:footnoteRef/>
      </w:r>
      <w:r w:rsidRPr="0096369D">
        <w:rPr>
          <w:sz w:val="20"/>
        </w:rPr>
        <w:t xml:space="preserve"> </w:t>
      </w:r>
      <w:r>
        <w:rPr>
          <w:sz w:val="20"/>
        </w:rPr>
        <w:t xml:space="preserve">The table is based largely on </w:t>
      </w:r>
      <w:proofErr w:type="spellStart"/>
      <w:r>
        <w:rPr>
          <w:sz w:val="20"/>
        </w:rPr>
        <w:t>Pacini</w:t>
      </w:r>
      <w:proofErr w:type="spellEnd"/>
      <w:r>
        <w:rPr>
          <w:sz w:val="20"/>
        </w:rPr>
        <w:t xml:space="preserve"> (see below).</w:t>
      </w:r>
      <w:r w:rsidRPr="0096369D">
        <w:rPr>
          <w:sz w:val="20"/>
        </w:rPr>
        <w:t xml:space="preserve"> Some figures, while disputed, are provide</w:t>
      </w:r>
      <w:r>
        <w:rPr>
          <w:sz w:val="20"/>
        </w:rPr>
        <w:t>d to give a basic idea of Christian numbers. Places listed under “Geographical Distri</w:t>
      </w:r>
      <w:r w:rsidRPr="0096369D">
        <w:rPr>
          <w:sz w:val="20"/>
        </w:rPr>
        <w:t>bution</w:t>
      </w:r>
      <w:r>
        <w:rPr>
          <w:sz w:val="20"/>
        </w:rPr>
        <w:t>” are given in descending order according to number of Christians per Middle Eastern (Arab) country, and countries with very low numbers (i.e., less that 1,000) are not given. Several commonly used a</w:t>
      </w:r>
      <w:r w:rsidRPr="0096369D">
        <w:rPr>
          <w:sz w:val="20"/>
        </w:rPr>
        <w:t>lternate terms are provided</w:t>
      </w:r>
      <w:r>
        <w:rPr>
          <w:sz w:val="20"/>
        </w:rPr>
        <w:t xml:space="preserve"> from some traditions</w:t>
      </w:r>
      <w:r w:rsidRPr="0096369D">
        <w:rPr>
          <w:sz w:val="20"/>
        </w:rPr>
        <w:t xml:space="preserve">, despite </w:t>
      </w:r>
      <w:r>
        <w:rPr>
          <w:sz w:val="20"/>
        </w:rPr>
        <w:t xml:space="preserve">potentially </w:t>
      </w:r>
      <w:r w:rsidRPr="0096369D">
        <w:rPr>
          <w:sz w:val="20"/>
        </w:rPr>
        <w:t>polemical connotations</w:t>
      </w:r>
      <w:r>
        <w:rPr>
          <w:sz w:val="20"/>
        </w:rPr>
        <w:t>.</w:t>
      </w:r>
      <w:r w:rsidRPr="0096369D">
        <w:rPr>
          <w:sz w:val="20"/>
        </w:rPr>
        <w:t xml:space="preserve"> </w:t>
      </w:r>
    </w:p>
  </w:footnote>
  <w:footnote w:id="5">
    <w:p w:rsidR="00BB2D28" w:rsidRPr="001E4B3D" w:rsidRDefault="00BB2D28">
      <w:pPr>
        <w:pStyle w:val="FootnoteText"/>
        <w:rPr>
          <w:sz w:val="20"/>
        </w:rPr>
      </w:pPr>
      <w:r w:rsidRPr="001E4B3D">
        <w:rPr>
          <w:rStyle w:val="FootnoteReference"/>
          <w:sz w:val="20"/>
        </w:rPr>
        <w:footnoteRef/>
      </w:r>
      <w:r w:rsidRPr="001E4B3D">
        <w:rPr>
          <w:sz w:val="20"/>
        </w:rPr>
        <w:t xml:space="preserve"> Griffiths, </w:t>
      </w:r>
      <w:proofErr w:type="gramStart"/>
      <w:r w:rsidRPr="001E4B3D">
        <w:rPr>
          <w:i/>
          <w:sz w:val="20"/>
        </w:rPr>
        <w:t>The</w:t>
      </w:r>
      <w:proofErr w:type="gramEnd"/>
      <w:r w:rsidRPr="001E4B3D">
        <w:rPr>
          <w:i/>
          <w:sz w:val="20"/>
        </w:rPr>
        <w:t xml:space="preserve"> Church in the Shadow of the Mosque, </w:t>
      </w:r>
      <w:r w:rsidRPr="001E4B3D">
        <w:rPr>
          <w:sz w:val="20"/>
        </w:rPr>
        <w:t>2.</w:t>
      </w:r>
    </w:p>
  </w:footnote>
  <w:footnote w:id="6">
    <w:p w:rsidR="00BB2D28" w:rsidRPr="002536DC" w:rsidRDefault="00BB2D28">
      <w:pPr>
        <w:pStyle w:val="FootnoteText"/>
        <w:rPr>
          <w:sz w:val="20"/>
        </w:rPr>
      </w:pPr>
      <w:r w:rsidRPr="002536DC">
        <w:rPr>
          <w:rStyle w:val="FootnoteReference"/>
          <w:sz w:val="20"/>
        </w:rPr>
        <w:footnoteRef/>
      </w:r>
      <w:r w:rsidRPr="002536DC">
        <w:rPr>
          <w:sz w:val="20"/>
        </w:rPr>
        <w:t xml:space="preserve"> The official site of the Middle East Council of Churches (</w:t>
      </w:r>
      <w:hyperlink r:id="rId1" w:history="1">
        <w:r w:rsidRPr="002536DC">
          <w:rPr>
            <w:rStyle w:val="Hyperlink"/>
            <w:sz w:val="20"/>
          </w:rPr>
          <w:t>http://www.mec-churches.org/</w:t>
        </w:r>
      </w:hyperlink>
      <w:r w:rsidRPr="002536DC">
        <w:rPr>
          <w:sz w:val="20"/>
        </w:rPr>
        <w:t xml:space="preserve">), though irregularly maintained, contains some fairly current information on participating bodies and initiatives. </w:t>
      </w:r>
      <w:r>
        <w:rPr>
          <w:sz w:val="20"/>
        </w:rPr>
        <w:t>At the time of writing, its News Briefs section (</w:t>
      </w:r>
      <w:hyperlink r:id="rId2" w:history="1">
        <w:r w:rsidRPr="00CE60D8">
          <w:rPr>
            <w:rStyle w:val="Hyperlink"/>
            <w:sz w:val="20"/>
          </w:rPr>
          <w:t>http://www.mec-churches.org/news_brief/news_brief_main.htm</w:t>
        </w:r>
      </w:hyperlink>
      <w:r>
        <w:rPr>
          <w:sz w:val="20"/>
        </w:rPr>
        <w:t xml:space="preserve">) provides updates on MECC activities up to August, 2008.  </w:t>
      </w:r>
      <w:r>
        <w:rPr>
          <w:sz w:val="20"/>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28" w:rsidRDefault="00464042" w:rsidP="000B55EE">
    <w:pPr>
      <w:pStyle w:val="Header"/>
      <w:framePr w:wrap="around" w:vAnchor="text" w:hAnchor="margin" w:xAlign="center" w:y="1"/>
      <w:rPr>
        <w:rStyle w:val="PageNumber"/>
      </w:rPr>
    </w:pPr>
    <w:r>
      <w:rPr>
        <w:rStyle w:val="PageNumber"/>
      </w:rPr>
      <w:fldChar w:fldCharType="begin"/>
    </w:r>
    <w:r w:rsidR="00BB2D28">
      <w:rPr>
        <w:rStyle w:val="PageNumber"/>
      </w:rPr>
      <w:instrText xml:space="preserve">PAGE  </w:instrText>
    </w:r>
    <w:r>
      <w:rPr>
        <w:rStyle w:val="PageNumber"/>
      </w:rPr>
      <w:fldChar w:fldCharType="end"/>
    </w:r>
  </w:p>
  <w:p w:rsidR="00BB2D28" w:rsidRDefault="00BB2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20"/>
    <w:rsid w:val="000021FE"/>
    <w:rsid w:val="00012158"/>
    <w:rsid w:val="0001666B"/>
    <w:rsid w:val="00051D6D"/>
    <w:rsid w:val="00052304"/>
    <w:rsid w:val="00053079"/>
    <w:rsid w:val="000828DA"/>
    <w:rsid w:val="000A1149"/>
    <w:rsid w:val="000B55EE"/>
    <w:rsid w:val="000C4475"/>
    <w:rsid w:val="000D3338"/>
    <w:rsid w:val="000F712C"/>
    <w:rsid w:val="000F71BE"/>
    <w:rsid w:val="0010197B"/>
    <w:rsid w:val="001326BE"/>
    <w:rsid w:val="0013444F"/>
    <w:rsid w:val="00143718"/>
    <w:rsid w:val="00144BDD"/>
    <w:rsid w:val="00146E91"/>
    <w:rsid w:val="00162676"/>
    <w:rsid w:val="001A5029"/>
    <w:rsid w:val="001B4C2D"/>
    <w:rsid w:val="001B6671"/>
    <w:rsid w:val="001C0F28"/>
    <w:rsid w:val="001D72E6"/>
    <w:rsid w:val="001E4B3D"/>
    <w:rsid w:val="00211989"/>
    <w:rsid w:val="002259F9"/>
    <w:rsid w:val="002536DC"/>
    <w:rsid w:val="002546D8"/>
    <w:rsid w:val="00264F82"/>
    <w:rsid w:val="00277A46"/>
    <w:rsid w:val="00285AC3"/>
    <w:rsid w:val="00295BD9"/>
    <w:rsid w:val="0029665D"/>
    <w:rsid w:val="002A3EBC"/>
    <w:rsid w:val="002A62F6"/>
    <w:rsid w:val="002B215F"/>
    <w:rsid w:val="0031003E"/>
    <w:rsid w:val="00331E07"/>
    <w:rsid w:val="003325A2"/>
    <w:rsid w:val="003331B8"/>
    <w:rsid w:val="00340F20"/>
    <w:rsid w:val="003420D9"/>
    <w:rsid w:val="003441FB"/>
    <w:rsid w:val="00351021"/>
    <w:rsid w:val="00372617"/>
    <w:rsid w:val="0038567C"/>
    <w:rsid w:val="003D1900"/>
    <w:rsid w:val="003D29F9"/>
    <w:rsid w:val="003F75C7"/>
    <w:rsid w:val="00417BE8"/>
    <w:rsid w:val="0042109D"/>
    <w:rsid w:val="0043249C"/>
    <w:rsid w:val="00464042"/>
    <w:rsid w:val="00491B7A"/>
    <w:rsid w:val="004B5BD5"/>
    <w:rsid w:val="004C3F00"/>
    <w:rsid w:val="004C4442"/>
    <w:rsid w:val="004D5CA5"/>
    <w:rsid w:val="004E6E49"/>
    <w:rsid w:val="00530FD5"/>
    <w:rsid w:val="005318AD"/>
    <w:rsid w:val="00584A7E"/>
    <w:rsid w:val="005876BB"/>
    <w:rsid w:val="0059117D"/>
    <w:rsid w:val="005935C1"/>
    <w:rsid w:val="00595D24"/>
    <w:rsid w:val="005D5310"/>
    <w:rsid w:val="005E1606"/>
    <w:rsid w:val="005E763A"/>
    <w:rsid w:val="0062429B"/>
    <w:rsid w:val="00642AD0"/>
    <w:rsid w:val="0065317D"/>
    <w:rsid w:val="0065715F"/>
    <w:rsid w:val="006603B1"/>
    <w:rsid w:val="00675C8C"/>
    <w:rsid w:val="006868B9"/>
    <w:rsid w:val="0068755B"/>
    <w:rsid w:val="006A0C49"/>
    <w:rsid w:val="006A6FA0"/>
    <w:rsid w:val="006C4D6C"/>
    <w:rsid w:val="006C6E71"/>
    <w:rsid w:val="006D3F4D"/>
    <w:rsid w:val="006E5B9F"/>
    <w:rsid w:val="00744A3E"/>
    <w:rsid w:val="00751A12"/>
    <w:rsid w:val="00756319"/>
    <w:rsid w:val="00766884"/>
    <w:rsid w:val="00767526"/>
    <w:rsid w:val="0078275F"/>
    <w:rsid w:val="007D2893"/>
    <w:rsid w:val="008054C3"/>
    <w:rsid w:val="008178ED"/>
    <w:rsid w:val="00847C85"/>
    <w:rsid w:val="008554D4"/>
    <w:rsid w:val="00871156"/>
    <w:rsid w:val="00876F7D"/>
    <w:rsid w:val="008850DE"/>
    <w:rsid w:val="008A2695"/>
    <w:rsid w:val="008A3F61"/>
    <w:rsid w:val="008A7633"/>
    <w:rsid w:val="008E0F31"/>
    <w:rsid w:val="008E3B4D"/>
    <w:rsid w:val="008E4F40"/>
    <w:rsid w:val="00910DBD"/>
    <w:rsid w:val="00922F7D"/>
    <w:rsid w:val="00927F0C"/>
    <w:rsid w:val="00937613"/>
    <w:rsid w:val="00950CF5"/>
    <w:rsid w:val="00957F2C"/>
    <w:rsid w:val="0096369D"/>
    <w:rsid w:val="00984539"/>
    <w:rsid w:val="00994FEE"/>
    <w:rsid w:val="00995962"/>
    <w:rsid w:val="009A2F5D"/>
    <w:rsid w:val="009A33A8"/>
    <w:rsid w:val="009A5729"/>
    <w:rsid w:val="009B1B9E"/>
    <w:rsid w:val="009C5D20"/>
    <w:rsid w:val="00A11599"/>
    <w:rsid w:val="00A123D1"/>
    <w:rsid w:val="00A1419E"/>
    <w:rsid w:val="00A32175"/>
    <w:rsid w:val="00AA4630"/>
    <w:rsid w:val="00AA71E8"/>
    <w:rsid w:val="00AC4B79"/>
    <w:rsid w:val="00AD464C"/>
    <w:rsid w:val="00AF0415"/>
    <w:rsid w:val="00AF3E55"/>
    <w:rsid w:val="00B11CC9"/>
    <w:rsid w:val="00B12B72"/>
    <w:rsid w:val="00B166ED"/>
    <w:rsid w:val="00B36473"/>
    <w:rsid w:val="00B64FAF"/>
    <w:rsid w:val="00B80F46"/>
    <w:rsid w:val="00B834B7"/>
    <w:rsid w:val="00B84184"/>
    <w:rsid w:val="00B850AA"/>
    <w:rsid w:val="00B908EA"/>
    <w:rsid w:val="00BB2D28"/>
    <w:rsid w:val="00BB4461"/>
    <w:rsid w:val="00BE4F20"/>
    <w:rsid w:val="00BE5D54"/>
    <w:rsid w:val="00BF057C"/>
    <w:rsid w:val="00C0426E"/>
    <w:rsid w:val="00C0758B"/>
    <w:rsid w:val="00C14B76"/>
    <w:rsid w:val="00C468D8"/>
    <w:rsid w:val="00C830DA"/>
    <w:rsid w:val="00CA14B1"/>
    <w:rsid w:val="00CA34FC"/>
    <w:rsid w:val="00CA4CB5"/>
    <w:rsid w:val="00CE5869"/>
    <w:rsid w:val="00CE620E"/>
    <w:rsid w:val="00CF0DC1"/>
    <w:rsid w:val="00D15653"/>
    <w:rsid w:val="00D625E9"/>
    <w:rsid w:val="00D64D96"/>
    <w:rsid w:val="00D65B92"/>
    <w:rsid w:val="00D7623E"/>
    <w:rsid w:val="00D90980"/>
    <w:rsid w:val="00DA77C4"/>
    <w:rsid w:val="00DB1758"/>
    <w:rsid w:val="00DD2C91"/>
    <w:rsid w:val="00DF4F3A"/>
    <w:rsid w:val="00DF645C"/>
    <w:rsid w:val="00E17B6F"/>
    <w:rsid w:val="00E25B7A"/>
    <w:rsid w:val="00E37BFB"/>
    <w:rsid w:val="00E5789A"/>
    <w:rsid w:val="00E919CF"/>
    <w:rsid w:val="00EC121D"/>
    <w:rsid w:val="00EE0069"/>
    <w:rsid w:val="00F02E09"/>
    <w:rsid w:val="00F50003"/>
    <w:rsid w:val="00F536C4"/>
    <w:rsid w:val="00F76442"/>
    <w:rsid w:val="00F9501A"/>
    <w:rsid w:val="00FC5CBE"/>
    <w:rsid w:val="00FD3C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CB"/>
    <w:pPr>
      <w:spacing w:after="200"/>
    </w:pPr>
    <w:rPr>
      <w:rFonts w:ascii="Times New Roman" w:hAnsi="Times New Roman"/>
      <w:sz w:val="24"/>
      <w:szCs w:val="24"/>
    </w:rPr>
  </w:style>
  <w:style w:type="paragraph" w:styleId="Heading1">
    <w:name w:val="heading 1"/>
    <w:basedOn w:val="Normal"/>
    <w:link w:val="Heading1Char"/>
    <w:uiPriority w:val="9"/>
    <w:rsid w:val="005D5310"/>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F29"/>
  </w:style>
  <w:style w:type="character" w:customStyle="1" w:styleId="FootnoteTextChar">
    <w:name w:val="Footnote Text Char"/>
    <w:basedOn w:val="DefaultParagraphFont"/>
    <w:link w:val="FootnoteText"/>
    <w:uiPriority w:val="99"/>
    <w:semiHidden/>
    <w:rsid w:val="00537F29"/>
    <w:rPr>
      <w:rFonts w:ascii="Times New Roman" w:hAnsi="Times New Roman"/>
      <w:sz w:val="24"/>
      <w:szCs w:val="24"/>
    </w:rPr>
  </w:style>
  <w:style w:type="character" w:styleId="FootnoteReference">
    <w:name w:val="footnote reference"/>
    <w:basedOn w:val="DefaultParagraphFont"/>
    <w:uiPriority w:val="99"/>
    <w:semiHidden/>
    <w:unhideWhenUsed/>
    <w:rsid w:val="00537F29"/>
    <w:rPr>
      <w:vertAlign w:val="superscript"/>
    </w:rPr>
  </w:style>
  <w:style w:type="paragraph" w:styleId="Header">
    <w:name w:val="header"/>
    <w:basedOn w:val="Normal"/>
    <w:link w:val="HeaderChar"/>
    <w:uiPriority w:val="99"/>
    <w:semiHidden/>
    <w:unhideWhenUsed/>
    <w:rsid w:val="003D7439"/>
    <w:pPr>
      <w:tabs>
        <w:tab w:val="center" w:pos="4320"/>
        <w:tab w:val="right" w:pos="8640"/>
      </w:tabs>
    </w:pPr>
  </w:style>
  <w:style w:type="character" w:customStyle="1" w:styleId="HeaderChar">
    <w:name w:val="Header Char"/>
    <w:basedOn w:val="DefaultParagraphFont"/>
    <w:link w:val="Header"/>
    <w:uiPriority w:val="99"/>
    <w:semiHidden/>
    <w:rsid w:val="003D7439"/>
    <w:rPr>
      <w:rFonts w:ascii="Times New Roman" w:hAnsi="Times New Roman"/>
      <w:sz w:val="24"/>
      <w:szCs w:val="24"/>
    </w:rPr>
  </w:style>
  <w:style w:type="character" w:styleId="PageNumber">
    <w:name w:val="page number"/>
    <w:basedOn w:val="DefaultParagraphFont"/>
    <w:uiPriority w:val="99"/>
    <w:semiHidden/>
    <w:unhideWhenUsed/>
    <w:rsid w:val="003D7439"/>
  </w:style>
  <w:style w:type="table" w:styleId="TableGrid">
    <w:name w:val="Table Grid"/>
    <w:basedOn w:val="TableNormal"/>
    <w:uiPriority w:val="59"/>
    <w:rsid w:val="002B65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5310"/>
    <w:rPr>
      <w:rFonts w:ascii="Times" w:hAnsi="Times"/>
      <w:b/>
      <w:kern w:val="36"/>
      <w:sz w:val="48"/>
    </w:rPr>
  </w:style>
  <w:style w:type="character" w:customStyle="1" w:styleId="subfielddata">
    <w:name w:val="subfielddata"/>
    <w:basedOn w:val="DefaultParagraphFont"/>
    <w:rsid w:val="00295BD9"/>
  </w:style>
  <w:style w:type="character" w:styleId="Strong">
    <w:name w:val="Strong"/>
    <w:basedOn w:val="DefaultParagraphFont"/>
    <w:uiPriority w:val="22"/>
    <w:rsid w:val="00675C8C"/>
    <w:rPr>
      <w:b/>
    </w:rPr>
  </w:style>
  <w:style w:type="character" w:styleId="Hyperlink">
    <w:name w:val="Hyperlink"/>
    <w:basedOn w:val="DefaultParagraphFont"/>
    <w:uiPriority w:val="99"/>
    <w:semiHidden/>
    <w:unhideWhenUsed/>
    <w:rsid w:val="002536DC"/>
    <w:rPr>
      <w:color w:val="0000FF" w:themeColor="hyperlink"/>
      <w:u w:val="single"/>
    </w:rPr>
  </w:style>
  <w:style w:type="paragraph" w:styleId="NormalWeb">
    <w:name w:val="Normal (Web)"/>
    <w:basedOn w:val="Normal"/>
    <w:uiPriority w:val="99"/>
    <w:rsid w:val="00E37BFB"/>
    <w:pPr>
      <w:spacing w:beforeLines="1" w:afterLines="1"/>
    </w:pPr>
    <w:rPr>
      <w:rFonts w:ascii="Times" w:eastAsiaTheme="minorEastAsia" w:hAnsi="Times"/>
      <w:sz w:val="20"/>
      <w:szCs w:val="20"/>
    </w:rPr>
  </w:style>
  <w:style w:type="character" w:customStyle="1" w:styleId="z3988">
    <w:name w:val="z3988"/>
    <w:basedOn w:val="DefaultParagraphFont"/>
    <w:rsid w:val="00E37BFB"/>
  </w:style>
  <w:style w:type="paragraph" w:styleId="Footer">
    <w:name w:val="footer"/>
    <w:basedOn w:val="Normal"/>
    <w:link w:val="FooterChar"/>
    <w:uiPriority w:val="99"/>
    <w:semiHidden/>
    <w:unhideWhenUsed/>
    <w:rsid w:val="00143718"/>
    <w:pPr>
      <w:tabs>
        <w:tab w:val="center" w:pos="4320"/>
        <w:tab w:val="right" w:pos="8640"/>
      </w:tabs>
      <w:spacing w:after="0"/>
    </w:pPr>
  </w:style>
  <w:style w:type="character" w:customStyle="1" w:styleId="FooterChar">
    <w:name w:val="Footer Char"/>
    <w:basedOn w:val="DefaultParagraphFont"/>
    <w:link w:val="Footer"/>
    <w:uiPriority w:val="99"/>
    <w:semiHidden/>
    <w:rsid w:val="00143718"/>
    <w:rPr>
      <w:rFonts w:ascii="Times New Roman" w:hAnsi="Times New Roman"/>
      <w:sz w:val="24"/>
      <w:szCs w:val="24"/>
    </w:rPr>
  </w:style>
  <w:style w:type="character" w:customStyle="1" w:styleId="sbtext">
    <w:name w:val="sbtext"/>
    <w:basedOn w:val="DefaultParagraphFont"/>
    <w:rsid w:val="00F95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CB"/>
    <w:pPr>
      <w:spacing w:after="200"/>
    </w:pPr>
    <w:rPr>
      <w:rFonts w:ascii="Times New Roman" w:hAnsi="Times New Roman"/>
      <w:sz w:val="24"/>
      <w:szCs w:val="24"/>
    </w:rPr>
  </w:style>
  <w:style w:type="paragraph" w:styleId="Heading1">
    <w:name w:val="heading 1"/>
    <w:basedOn w:val="Normal"/>
    <w:link w:val="Heading1Char"/>
    <w:uiPriority w:val="9"/>
    <w:rsid w:val="005D5310"/>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F29"/>
  </w:style>
  <w:style w:type="character" w:customStyle="1" w:styleId="FootnoteTextChar">
    <w:name w:val="Footnote Text Char"/>
    <w:basedOn w:val="DefaultParagraphFont"/>
    <w:link w:val="FootnoteText"/>
    <w:uiPriority w:val="99"/>
    <w:semiHidden/>
    <w:rsid w:val="00537F29"/>
    <w:rPr>
      <w:rFonts w:ascii="Times New Roman" w:hAnsi="Times New Roman"/>
      <w:sz w:val="24"/>
      <w:szCs w:val="24"/>
    </w:rPr>
  </w:style>
  <w:style w:type="character" w:styleId="FootnoteReference">
    <w:name w:val="footnote reference"/>
    <w:basedOn w:val="DefaultParagraphFont"/>
    <w:uiPriority w:val="99"/>
    <w:semiHidden/>
    <w:unhideWhenUsed/>
    <w:rsid w:val="00537F29"/>
    <w:rPr>
      <w:vertAlign w:val="superscript"/>
    </w:rPr>
  </w:style>
  <w:style w:type="paragraph" w:styleId="Header">
    <w:name w:val="header"/>
    <w:basedOn w:val="Normal"/>
    <w:link w:val="HeaderChar"/>
    <w:uiPriority w:val="99"/>
    <w:semiHidden/>
    <w:unhideWhenUsed/>
    <w:rsid w:val="003D7439"/>
    <w:pPr>
      <w:tabs>
        <w:tab w:val="center" w:pos="4320"/>
        <w:tab w:val="right" w:pos="8640"/>
      </w:tabs>
    </w:pPr>
  </w:style>
  <w:style w:type="character" w:customStyle="1" w:styleId="HeaderChar">
    <w:name w:val="Header Char"/>
    <w:basedOn w:val="DefaultParagraphFont"/>
    <w:link w:val="Header"/>
    <w:uiPriority w:val="99"/>
    <w:semiHidden/>
    <w:rsid w:val="003D7439"/>
    <w:rPr>
      <w:rFonts w:ascii="Times New Roman" w:hAnsi="Times New Roman"/>
      <w:sz w:val="24"/>
      <w:szCs w:val="24"/>
    </w:rPr>
  </w:style>
  <w:style w:type="character" w:styleId="PageNumber">
    <w:name w:val="page number"/>
    <w:basedOn w:val="DefaultParagraphFont"/>
    <w:uiPriority w:val="99"/>
    <w:semiHidden/>
    <w:unhideWhenUsed/>
    <w:rsid w:val="003D7439"/>
  </w:style>
  <w:style w:type="table" w:styleId="TableGrid">
    <w:name w:val="Table Grid"/>
    <w:basedOn w:val="TableNormal"/>
    <w:uiPriority w:val="59"/>
    <w:rsid w:val="002B65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5310"/>
    <w:rPr>
      <w:rFonts w:ascii="Times" w:hAnsi="Times"/>
      <w:b/>
      <w:kern w:val="36"/>
      <w:sz w:val="48"/>
    </w:rPr>
  </w:style>
  <w:style w:type="character" w:customStyle="1" w:styleId="subfielddata">
    <w:name w:val="subfielddata"/>
    <w:basedOn w:val="DefaultParagraphFont"/>
    <w:rsid w:val="00295BD9"/>
  </w:style>
  <w:style w:type="character" w:styleId="Strong">
    <w:name w:val="Strong"/>
    <w:basedOn w:val="DefaultParagraphFont"/>
    <w:uiPriority w:val="22"/>
    <w:rsid w:val="00675C8C"/>
    <w:rPr>
      <w:b/>
    </w:rPr>
  </w:style>
  <w:style w:type="character" w:styleId="Hyperlink">
    <w:name w:val="Hyperlink"/>
    <w:basedOn w:val="DefaultParagraphFont"/>
    <w:uiPriority w:val="99"/>
    <w:semiHidden/>
    <w:unhideWhenUsed/>
    <w:rsid w:val="002536DC"/>
    <w:rPr>
      <w:color w:val="0000FF" w:themeColor="hyperlink"/>
      <w:u w:val="single"/>
    </w:rPr>
  </w:style>
  <w:style w:type="paragraph" w:styleId="NormalWeb">
    <w:name w:val="Normal (Web)"/>
    <w:basedOn w:val="Normal"/>
    <w:uiPriority w:val="99"/>
    <w:rsid w:val="00E37BFB"/>
    <w:pPr>
      <w:spacing w:beforeLines="1" w:afterLines="1"/>
    </w:pPr>
    <w:rPr>
      <w:rFonts w:ascii="Times" w:eastAsiaTheme="minorEastAsia" w:hAnsi="Times"/>
      <w:sz w:val="20"/>
      <w:szCs w:val="20"/>
    </w:rPr>
  </w:style>
  <w:style w:type="character" w:customStyle="1" w:styleId="z3988">
    <w:name w:val="z3988"/>
    <w:basedOn w:val="DefaultParagraphFont"/>
    <w:rsid w:val="00E37BFB"/>
  </w:style>
  <w:style w:type="paragraph" w:styleId="Footer">
    <w:name w:val="footer"/>
    <w:basedOn w:val="Normal"/>
    <w:link w:val="FooterChar"/>
    <w:uiPriority w:val="99"/>
    <w:semiHidden/>
    <w:unhideWhenUsed/>
    <w:rsid w:val="00143718"/>
    <w:pPr>
      <w:tabs>
        <w:tab w:val="center" w:pos="4320"/>
        <w:tab w:val="right" w:pos="8640"/>
      </w:tabs>
      <w:spacing w:after="0"/>
    </w:pPr>
  </w:style>
  <w:style w:type="character" w:customStyle="1" w:styleId="FooterChar">
    <w:name w:val="Footer Char"/>
    <w:basedOn w:val="DefaultParagraphFont"/>
    <w:link w:val="Footer"/>
    <w:uiPriority w:val="99"/>
    <w:semiHidden/>
    <w:rsid w:val="00143718"/>
    <w:rPr>
      <w:rFonts w:ascii="Times New Roman" w:hAnsi="Times New Roman"/>
      <w:sz w:val="24"/>
      <w:szCs w:val="24"/>
    </w:rPr>
  </w:style>
  <w:style w:type="character" w:customStyle="1" w:styleId="sbtext">
    <w:name w:val="sbtext"/>
    <w:basedOn w:val="DefaultParagraphFont"/>
    <w:rsid w:val="00F9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35">
      <w:bodyDiv w:val="1"/>
      <w:marLeft w:val="0"/>
      <w:marRight w:val="0"/>
      <w:marTop w:val="0"/>
      <w:marBottom w:val="0"/>
      <w:divBdr>
        <w:top w:val="none" w:sz="0" w:space="0" w:color="auto"/>
        <w:left w:val="none" w:sz="0" w:space="0" w:color="auto"/>
        <w:bottom w:val="none" w:sz="0" w:space="0" w:color="auto"/>
        <w:right w:val="none" w:sz="0" w:space="0" w:color="auto"/>
      </w:divBdr>
      <w:divsChild>
        <w:div w:id="240221089">
          <w:marLeft w:val="720"/>
          <w:marRight w:val="0"/>
          <w:marTop w:val="0"/>
          <w:marBottom w:val="0"/>
          <w:divBdr>
            <w:top w:val="none" w:sz="0" w:space="0" w:color="auto"/>
            <w:left w:val="none" w:sz="0" w:space="0" w:color="auto"/>
            <w:bottom w:val="none" w:sz="0" w:space="0" w:color="auto"/>
            <w:right w:val="none" w:sz="0" w:space="0" w:color="auto"/>
          </w:divBdr>
        </w:div>
      </w:divsChild>
    </w:div>
    <w:div w:id="110322662">
      <w:bodyDiv w:val="1"/>
      <w:marLeft w:val="0"/>
      <w:marRight w:val="0"/>
      <w:marTop w:val="0"/>
      <w:marBottom w:val="0"/>
      <w:divBdr>
        <w:top w:val="none" w:sz="0" w:space="0" w:color="auto"/>
        <w:left w:val="none" w:sz="0" w:space="0" w:color="auto"/>
        <w:bottom w:val="none" w:sz="0" w:space="0" w:color="auto"/>
        <w:right w:val="none" w:sz="0" w:space="0" w:color="auto"/>
      </w:divBdr>
      <w:divsChild>
        <w:div w:id="1363435400">
          <w:marLeft w:val="720"/>
          <w:marRight w:val="0"/>
          <w:marTop w:val="0"/>
          <w:marBottom w:val="0"/>
          <w:divBdr>
            <w:top w:val="none" w:sz="0" w:space="0" w:color="auto"/>
            <w:left w:val="none" w:sz="0" w:space="0" w:color="auto"/>
            <w:bottom w:val="none" w:sz="0" w:space="0" w:color="auto"/>
            <w:right w:val="none" w:sz="0" w:space="0" w:color="auto"/>
          </w:divBdr>
        </w:div>
      </w:divsChild>
    </w:div>
    <w:div w:id="125047264">
      <w:bodyDiv w:val="1"/>
      <w:marLeft w:val="0"/>
      <w:marRight w:val="0"/>
      <w:marTop w:val="0"/>
      <w:marBottom w:val="0"/>
      <w:divBdr>
        <w:top w:val="none" w:sz="0" w:space="0" w:color="auto"/>
        <w:left w:val="none" w:sz="0" w:space="0" w:color="auto"/>
        <w:bottom w:val="none" w:sz="0" w:space="0" w:color="auto"/>
        <w:right w:val="none" w:sz="0" w:space="0" w:color="auto"/>
      </w:divBdr>
      <w:divsChild>
        <w:div w:id="1908685745">
          <w:marLeft w:val="720"/>
          <w:marRight w:val="0"/>
          <w:marTop w:val="0"/>
          <w:marBottom w:val="0"/>
          <w:divBdr>
            <w:top w:val="none" w:sz="0" w:space="0" w:color="auto"/>
            <w:left w:val="none" w:sz="0" w:space="0" w:color="auto"/>
            <w:bottom w:val="none" w:sz="0" w:space="0" w:color="auto"/>
            <w:right w:val="none" w:sz="0" w:space="0" w:color="auto"/>
          </w:divBdr>
        </w:div>
      </w:divsChild>
    </w:div>
    <w:div w:id="171458773">
      <w:bodyDiv w:val="1"/>
      <w:marLeft w:val="0"/>
      <w:marRight w:val="0"/>
      <w:marTop w:val="0"/>
      <w:marBottom w:val="0"/>
      <w:divBdr>
        <w:top w:val="none" w:sz="0" w:space="0" w:color="auto"/>
        <w:left w:val="none" w:sz="0" w:space="0" w:color="auto"/>
        <w:bottom w:val="none" w:sz="0" w:space="0" w:color="auto"/>
        <w:right w:val="none" w:sz="0" w:space="0" w:color="auto"/>
      </w:divBdr>
      <w:divsChild>
        <w:div w:id="1350185350">
          <w:marLeft w:val="720"/>
          <w:marRight w:val="0"/>
          <w:marTop w:val="0"/>
          <w:marBottom w:val="0"/>
          <w:divBdr>
            <w:top w:val="none" w:sz="0" w:space="0" w:color="auto"/>
            <w:left w:val="none" w:sz="0" w:space="0" w:color="auto"/>
            <w:bottom w:val="none" w:sz="0" w:space="0" w:color="auto"/>
            <w:right w:val="none" w:sz="0" w:space="0" w:color="auto"/>
          </w:divBdr>
        </w:div>
      </w:divsChild>
    </w:div>
    <w:div w:id="188297778">
      <w:bodyDiv w:val="1"/>
      <w:marLeft w:val="0"/>
      <w:marRight w:val="0"/>
      <w:marTop w:val="0"/>
      <w:marBottom w:val="0"/>
      <w:divBdr>
        <w:top w:val="none" w:sz="0" w:space="0" w:color="auto"/>
        <w:left w:val="none" w:sz="0" w:space="0" w:color="auto"/>
        <w:bottom w:val="none" w:sz="0" w:space="0" w:color="auto"/>
        <w:right w:val="none" w:sz="0" w:space="0" w:color="auto"/>
      </w:divBdr>
      <w:divsChild>
        <w:div w:id="504827822">
          <w:marLeft w:val="720"/>
          <w:marRight w:val="0"/>
          <w:marTop w:val="0"/>
          <w:marBottom w:val="0"/>
          <w:divBdr>
            <w:top w:val="none" w:sz="0" w:space="0" w:color="auto"/>
            <w:left w:val="none" w:sz="0" w:space="0" w:color="auto"/>
            <w:bottom w:val="none" w:sz="0" w:space="0" w:color="auto"/>
            <w:right w:val="none" w:sz="0" w:space="0" w:color="auto"/>
          </w:divBdr>
        </w:div>
      </w:divsChild>
    </w:div>
    <w:div w:id="443036838">
      <w:bodyDiv w:val="1"/>
      <w:marLeft w:val="0"/>
      <w:marRight w:val="0"/>
      <w:marTop w:val="0"/>
      <w:marBottom w:val="0"/>
      <w:divBdr>
        <w:top w:val="none" w:sz="0" w:space="0" w:color="auto"/>
        <w:left w:val="none" w:sz="0" w:space="0" w:color="auto"/>
        <w:bottom w:val="none" w:sz="0" w:space="0" w:color="auto"/>
        <w:right w:val="none" w:sz="0" w:space="0" w:color="auto"/>
      </w:divBdr>
      <w:divsChild>
        <w:div w:id="1370178001">
          <w:marLeft w:val="720"/>
          <w:marRight w:val="0"/>
          <w:marTop w:val="0"/>
          <w:marBottom w:val="0"/>
          <w:divBdr>
            <w:top w:val="none" w:sz="0" w:space="0" w:color="auto"/>
            <w:left w:val="none" w:sz="0" w:space="0" w:color="auto"/>
            <w:bottom w:val="none" w:sz="0" w:space="0" w:color="auto"/>
            <w:right w:val="none" w:sz="0" w:space="0" w:color="auto"/>
          </w:divBdr>
        </w:div>
      </w:divsChild>
    </w:div>
    <w:div w:id="490371508">
      <w:bodyDiv w:val="1"/>
      <w:marLeft w:val="0"/>
      <w:marRight w:val="0"/>
      <w:marTop w:val="0"/>
      <w:marBottom w:val="0"/>
      <w:divBdr>
        <w:top w:val="none" w:sz="0" w:space="0" w:color="auto"/>
        <w:left w:val="none" w:sz="0" w:space="0" w:color="auto"/>
        <w:bottom w:val="none" w:sz="0" w:space="0" w:color="auto"/>
        <w:right w:val="none" w:sz="0" w:space="0" w:color="auto"/>
      </w:divBdr>
      <w:divsChild>
        <w:div w:id="446589056">
          <w:marLeft w:val="720"/>
          <w:marRight w:val="0"/>
          <w:marTop w:val="0"/>
          <w:marBottom w:val="0"/>
          <w:divBdr>
            <w:top w:val="none" w:sz="0" w:space="0" w:color="auto"/>
            <w:left w:val="none" w:sz="0" w:space="0" w:color="auto"/>
            <w:bottom w:val="none" w:sz="0" w:space="0" w:color="auto"/>
            <w:right w:val="none" w:sz="0" w:space="0" w:color="auto"/>
          </w:divBdr>
        </w:div>
      </w:divsChild>
    </w:div>
    <w:div w:id="640967866">
      <w:bodyDiv w:val="1"/>
      <w:marLeft w:val="0"/>
      <w:marRight w:val="0"/>
      <w:marTop w:val="0"/>
      <w:marBottom w:val="0"/>
      <w:divBdr>
        <w:top w:val="none" w:sz="0" w:space="0" w:color="auto"/>
        <w:left w:val="none" w:sz="0" w:space="0" w:color="auto"/>
        <w:bottom w:val="none" w:sz="0" w:space="0" w:color="auto"/>
        <w:right w:val="none" w:sz="0" w:space="0" w:color="auto"/>
      </w:divBdr>
      <w:divsChild>
        <w:div w:id="1814058505">
          <w:marLeft w:val="720"/>
          <w:marRight w:val="0"/>
          <w:marTop w:val="0"/>
          <w:marBottom w:val="0"/>
          <w:divBdr>
            <w:top w:val="none" w:sz="0" w:space="0" w:color="auto"/>
            <w:left w:val="none" w:sz="0" w:space="0" w:color="auto"/>
            <w:bottom w:val="none" w:sz="0" w:space="0" w:color="auto"/>
            <w:right w:val="none" w:sz="0" w:space="0" w:color="auto"/>
          </w:divBdr>
        </w:div>
      </w:divsChild>
    </w:div>
    <w:div w:id="664014639">
      <w:bodyDiv w:val="1"/>
      <w:marLeft w:val="0"/>
      <w:marRight w:val="0"/>
      <w:marTop w:val="0"/>
      <w:marBottom w:val="0"/>
      <w:divBdr>
        <w:top w:val="none" w:sz="0" w:space="0" w:color="auto"/>
        <w:left w:val="none" w:sz="0" w:space="0" w:color="auto"/>
        <w:bottom w:val="none" w:sz="0" w:space="0" w:color="auto"/>
        <w:right w:val="none" w:sz="0" w:space="0" w:color="auto"/>
      </w:divBdr>
      <w:divsChild>
        <w:div w:id="1182472762">
          <w:marLeft w:val="720"/>
          <w:marRight w:val="0"/>
          <w:marTop w:val="0"/>
          <w:marBottom w:val="0"/>
          <w:divBdr>
            <w:top w:val="none" w:sz="0" w:space="0" w:color="auto"/>
            <w:left w:val="none" w:sz="0" w:space="0" w:color="auto"/>
            <w:bottom w:val="none" w:sz="0" w:space="0" w:color="auto"/>
            <w:right w:val="none" w:sz="0" w:space="0" w:color="auto"/>
          </w:divBdr>
        </w:div>
      </w:divsChild>
    </w:div>
    <w:div w:id="793451554">
      <w:bodyDiv w:val="1"/>
      <w:marLeft w:val="0"/>
      <w:marRight w:val="0"/>
      <w:marTop w:val="0"/>
      <w:marBottom w:val="0"/>
      <w:divBdr>
        <w:top w:val="none" w:sz="0" w:space="0" w:color="auto"/>
        <w:left w:val="none" w:sz="0" w:space="0" w:color="auto"/>
        <w:bottom w:val="none" w:sz="0" w:space="0" w:color="auto"/>
        <w:right w:val="none" w:sz="0" w:space="0" w:color="auto"/>
      </w:divBdr>
      <w:divsChild>
        <w:div w:id="97260760">
          <w:marLeft w:val="720"/>
          <w:marRight w:val="0"/>
          <w:marTop w:val="0"/>
          <w:marBottom w:val="0"/>
          <w:divBdr>
            <w:top w:val="none" w:sz="0" w:space="0" w:color="auto"/>
            <w:left w:val="none" w:sz="0" w:space="0" w:color="auto"/>
            <w:bottom w:val="none" w:sz="0" w:space="0" w:color="auto"/>
            <w:right w:val="none" w:sz="0" w:space="0" w:color="auto"/>
          </w:divBdr>
        </w:div>
      </w:divsChild>
    </w:div>
    <w:div w:id="841622403">
      <w:bodyDiv w:val="1"/>
      <w:marLeft w:val="0"/>
      <w:marRight w:val="0"/>
      <w:marTop w:val="0"/>
      <w:marBottom w:val="0"/>
      <w:divBdr>
        <w:top w:val="none" w:sz="0" w:space="0" w:color="auto"/>
        <w:left w:val="none" w:sz="0" w:space="0" w:color="auto"/>
        <w:bottom w:val="none" w:sz="0" w:space="0" w:color="auto"/>
        <w:right w:val="none" w:sz="0" w:space="0" w:color="auto"/>
      </w:divBdr>
      <w:divsChild>
        <w:div w:id="6060609">
          <w:marLeft w:val="720"/>
          <w:marRight w:val="0"/>
          <w:marTop w:val="0"/>
          <w:marBottom w:val="0"/>
          <w:divBdr>
            <w:top w:val="none" w:sz="0" w:space="0" w:color="auto"/>
            <w:left w:val="none" w:sz="0" w:space="0" w:color="auto"/>
            <w:bottom w:val="none" w:sz="0" w:space="0" w:color="auto"/>
            <w:right w:val="none" w:sz="0" w:space="0" w:color="auto"/>
          </w:divBdr>
        </w:div>
      </w:divsChild>
    </w:div>
    <w:div w:id="844243329">
      <w:bodyDiv w:val="1"/>
      <w:marLeft w:val="0"/>
      <w:marRight w:val="0"/>
      <w:marTop w:val="0"/>
      <w:marBottom w:val="0"/>
      <w:divBdr>
        <w:top w:val="none" w:sz="0" w:space="0" w:color="auto"/>
        <w:left w:val="none" w:sz="0" w:space="0" w:color="auto"/>
        <w:bottom w:val="none" w:sz="0" w:space="0" w:color="auto"/>
        <w:right w:val="none" w:sz="0" w:space="0" w:color="auto"/>
      </w:divBdr>
      <w:divsChild>
        <w:div w:id="29694132">
          <w:marLeft w:val="720"/>
          <w:marRight w:val="0"/>
          <w:marTop w:val="0"/>
          <w:marBottom w:val="0"/>
          <w:divBdr>
            <w:top w:val="none" w:sz="0" w:space="0" w:color="auto"/>
            <w:left w:val="none" w:sz="0" w:space="0" w:color="auto"/>
            <w:bottom w:val="none" w:sz="0" w:space="0" w:color="auto"/>
            <w:right w:val="none" w:sz="0" w:space="0" w:color="auto"/>
          </w:divBdr>
        </w:div>
      </w:divsChild>
    </w:div>
    <w:div w:id="1025792555">
      <w:bodyDiv w:val="1"/>
      <w:marLeft w:val="0"/>
      <w:marRight w:val="0"/>
      <w:marTop w:val="0"/>
      <w:marBottom w:val="0"/>
      <w:divBdr>
        <w:top w:val="none" w:sz="0" w:space="0" w:color="auto"/>
        <w:left w:val="none" w:sz="0" w:space="0" w:color="auto"/>
        <w:bottom w:val="none" w:sz="0" w:space="0" w:color="auto"/>
        <w:right w:val="none" w:sz="0" w:space="0" w:color="auto"/>
      </w:divBdr>
      <w:divsChild>
        <w:div w:id="912156981">
          <w:marLeft w:val="0"/>
          <w:marRight w:val="0"/>
          <w:marTop w:val="0"/>
          <w:marBottom w:val="0"/>
          <w:divBdr>
            <w:top w:val="none" w:sz="0" w:space="0" w:color="auto"/>
            <w:left w:val="none" w:sz="0" w:space="0" w:color="auto"/>
            <w:bottom w:val="none" w:sz="0" w:space="0" w:color="auto"/>
            <w:right w:val="none" w:sz="0" w:space="0" w:color="auto"/>
          </w:divBdr>
        </w:div>
      </w:divsChild>
    </w:div>
    <w:div w:id="1056078174">
      <w:bodyDiv w:val="1"/>
      <w:marLeft w:val="0"/>
      <w:marRight w:val="0"/>
      <w:marTop w:val="0"/>
      <w:marBottom w:val="0"/>
      <w:divBdr>
        <w:top w:val="none" w:sz="0" w:space="0" w:color="auto"/>
        <w:left w:val="none" w:sz="0" w:space="0" w:color="auto"/>
        <w:bottom w:val="none" w:sz="0" w:space="0" w:color="auto"/>
        <w:right w:val="none" w:sz="0" w:space="0" w:color="auto"/>
      </w:divBdr>
    </w:div>
    <w:div w:id="1090007431">
      <w:bodyDiv w:val="1"/>
      <w:marLeft w:val="0"/>
      <w:marRight w:val="0"/>
      <w:marTop w:val="0"/>
      <w:marBottom w:val="0"/>
      <w:divBdr>
        <w:top w:val="none" w:sz="0" w:space="0" w:color="auto"/>
        <w:left w:val="none" w:sz="0" w:space="0" w:color="auto"/>
        <w:bottom w:val="none" w:sz="0" w:space="0" w:color="auto"/>
        <w:right w:val="none" w:sz="0" w:space="0" w:color="auto"/>
      </w:divBdr>
      <w:divsChild>
        <w:div w:id="289556460">
          <w:marLeft w:val="720"/>
          <w:marRight w:val="0"/>
          <w:marTop w:val="0"/>
          <w:marBottom w:val="0"/>
          <w:divBdr>
            <w:top w:val="none" w:sz="0" w:space="0" w:color="auto"/>
            <w:left w:val="none" w:sz="0" w:space="0" w:color="auto"/>
            <w:bottom w:val="none" w:sz="0" w:space="0" w:color="auto"/>
            <w:right w:val="none" w:sz="0" w:space="0" w:color="auto"/>
          </w:divBdr>
        </w:div>
      </w:divsChild>
    </w:div>
    <w:div w:id="1133256482">
      <w:bodyDiv w:val="1"/>
      <w:marLeft w:val="0"/>
      <w:marRight w:val="0"/>
      <w:marTop w:val="0"/>
      <w:marBottom w:val="0"/>
      <w:divBdr>
        <w:top w:val="none" w:sz="0" w:space="0" w:color="auto"/>
        <w:left w:val="none" w:sz="0" w:space="0" w:color="auto"/>
        <w:bottom w:val="none" w:sz="0" w:space="0" w:color="auto"/>
        <w:right w:val="none" w:sz="0" w:space="0" w:color="auto"/>
      </w:divBdr>
      <w:divsChild>
        <w:div w:id="1071536373">
          <w:marLeft w:val="720"/>
          <w:marRight w:val="0"/>
          <w:marTop w:val="0"/>
          <w:marBottom w:val="0"/>
          <w:divBdr>
            <w:top w:val="none" w:sz="0" w:space="0" w:color="auto"/>
            <w:left w:val="none" w:sz="0" w:space="0" w:color="auto"/>
            <w:bottom w:val="none" w:sz="0" w:space="0" w:color="auto"/>
            <w:right w:val="none" w:sz="0" w:space="0" w:color="auto"/>
          </w:divBdr>
        </w:div>
      </w:divsChild>
    </w:div>
    <w:div w:id="1152864480">
      <w:bodyDiv w:val="1"/>
      <w:marLeft w:val="0"/>
      <w:marRight w:val="0"/>
      <w:marTop w:val="0"/>
      <w:marBottom w:val="0"/>
      <w:divBdr>
        <w:top w:val="none" w:sz="0" w:space="0" w:color="auto"/>
        <w:left w:val="none" w:sz="0" w:space="0" w:color="auto"/>
        <w:bottom w:val="none" w:sz="0" w:space="0" w:color="auto"/>
        <w:right w:val="none" w:sz="0" w:space="0" w:color="auto"/>
      </w:divBdr>
      <w:divsChild>
        <w:div w:id="1895115027">
          <w:marLeft w:val="720"/>
          <w:marRight w:val="0"/>
          <w:marTop w:val="0"/>
          <w:marBottom w:val="0"/>
          <w:divBdr>
            <w:top w:val="none" w:sz="0" w:space="0" w:color="auto"/>
            <w:left w:val="none" w:sz="0" w:space="0" w:color="auto"/>
            <w:bottom w:val="none" w:sz="0" w:space="0" w:color="auto"/>
            <w:right w:val="none" w:sz="0" w:space="0" w:color="auto"/>
          </w:divBdr>
        </w:div>
      </w:divsChild>
    </w:div>
    <w:div w:id="1283609982">
      <w:bodyDiv w:val="1"/>
      <w:marLeft w:val="0"/>
      <w:marRight w:val="0"/>
      <w:marTop w:val="0"/>
      <w:marBottom w:val="0"/>
      <w:divBdr>
        <w:top w:val="none" w:sz="0" w:space="0" w:color="auto"/>
        <w:left w:val="none" w:sz="0" w:space="0" w:color="auto"/>
        <w:bottom w:val="none" w:sz="0" w:space="0" w:color="auto"/>
        <w:right w:val="none" w:sz="0" w:space="0" w:color="auto"/>
      </w:divBdr>
    </w:div>
    <w:div w:id="1334408903">
      <w:bodyDiv w:val="1"/>
      <w:marLeft w:val="0"/>
      <w:marRight w:val="0"/>
      <w:marTop w:val="0"/>
      <w:marBottom w:val="0"/>
      <w:divBdr>
        <w:top w:val="none" w:sz="0" w:space="0" w:color="auto"/>
        <w:left w:val="none" w:sz="0" w:space="0" w:color="auto"/>
        <w:bottom w:val="none" w:sz="0" w:space="0" w:color="auto"/>
        <w:right w:val="none" w:sz="0" w:space="0" w:color="auto"/>
      </w:divBdr>
      <w:divsChild>
        <w:div w:id="121772326">
          <w:marLeft w:val="720"/>
          <w:marRight w:val="0"/>
          <w:marTop w:val="0"/>
          <w:marBottom w:val="0"/>
          <w:divBdr>
            <w:top w:val="none" w:sz="0" w:space="0" w:color="auto"/>
            <w:left w:val="none" w:sz="0" w:space="0" w:color="auto"/>
            <w:bottom w:val="none" w:sz="0" w:space="0" w:color="auto"/>
            <w:right w:val="none" w:sz="0" w:space="0" w:color="auto"/>
          </w:divBdr>
        </w:div>
      </w:divsChild>
    </w:div>
    <w:div w:id="1358651785">
      <w:bodyDiv w:val="1"/>
      <w:marLeft w:val="0"/>
      <w:marRight w:val="0"/>
      <w:marTop w:val="0"/>
      <w:marBottom w:val="0"/>
      <w:divBdr>
        <w:top w:val="none" w:sz="0" w:space="0" w:color="auto"/>
        <w:left w:val="none" w:sz="0" w:space="0" w:color="auto"/>
        <w:bottom w:val="none" w:sz="0" w:space="0" w:color="auto"/>
        <w:right w:val="none" w:sz="0" w:space="0" w:color="auto"/>
      </w:divBdr>
      <w:divsChild>
        <w:div w:id="383451602">
          <w:marLeft w:val="720"/>
          <w:marRight w:val="0"/>
          <w:marTop w:val="0"/>
          <w:marBottom w:val="0"/>
          <w:divBdr>
            <w:top w:val="none" w:sz="0" w:space="0" w:color="auto"/>
            <w:left w:val="none" w:sz="0" w:space="0" w:color="auto"/>
            <w:bottom w:val="none" w:sz="0" w:space="0" w:color="auto"/>
            <w:right w:val="none" w:sz="0" w:space="0" w:color="auto"/>
          </w:divBdr>
        </w:div>
      </w:divsChild>
    </w:div>
    <w:div w:id="1439834763">
      <w:bodyDiv w:val="1"/>
      <w:marLeft w:val="0"/>
      <w:marRight w:val="0"/>
      <w:marTop w:val="0"/>
      <w:marBottom w:val="0"/>
      <w:divBdr>
        <w:top w:val="none" w:sz="0" w:space="0" w:color="auto"/>
        <w:left w:val="none" w:sz="0" w:space="0" w:color="auto"/>
        <w:bottom w:val="none" w:sz="0" w:space="0" w:color="auto"/>
        <w:right w:val="none" w:sz="0" w:space="0" w:color="auto"/>
      </w:divBdr>
      <w:divsChild>
        <w:div w:id="1533030906">
          <w:marLeft w:val="720"/>
          <w:marRight w:val="0"/>
          <w:marTop w:val="0"/>
          <w:marBottom w:val="0"/>
          <w:divBdr>
            <w:top w:val="none" w:sz="0" w:space="0" w:color="auto"/>
            <w:left w:val="none" w:sz="0" w:space="0" w:color="auto"/>
            <w:bottom w:val="none" w:sz="0" w:space="0" w:color="auto"/>
            <w:right w:val="none" w:sz="0" w:space="0" w:color="auto"/>
          </w:divBdr>
        </w:div>
      </w:divsChild>
    </w:div>
    <w:div w:id="1790004443">
      <w:bodyDiv w:val="1"/>
      <w:marLeft w:val="0"/>
      <w:marRight w:val="0"/>
      <w:marTop w:val="0"/>
      <w:marBottom w:val="0"/>
      <w:divBdr>
        <w:top w:val="none" w:sz="0" w:space="0" w:color="auto"/>
        <w:left w:val="none" w:sz="0" w:space="0" w:color="auto"/>
        <w:bottom w:val="none" w:sz="0" w:space="0" w:color="auto"/>
        <w:right w:val="none" w:sz="0" w:space="0" w:color="auto"/>
      </w:divBdr>
      <w:divsChild>
        <w:div w:id="568805681">
          <w:marLeft w:val="720"/>
          <w:marRight w:val="0"/>
          <w:marTop w:val="0"/>
          <w:marBottom w:val="0"/>
          <w:divBdr>
            <w:top w:val="none" w:sz="0" w:space="0" w:color="auto"/>
            <w:left w:val="none" w:sz="0" w:space="0" w:color="auto"/>
            <w:bottom w:val="none" w:sz="0" w:space="0" w:color="auto"/>
            <w:right w:val="none" w:sz="0" w:space="0" w:color="auto"/>
          </w:divBdr>
        </w:div>
      </w:divsChild>
    </w:div>
    <w:div w:id="1798328233">
      <w:bodyDiv w:val="1"/>
      <w:marLeft w:val="0"/>
      <w:marRight w:val="0"/>
      <w:marTop w:val="0"/>
      <w:marBottom w:val="0"/>
      <w:divBdr>
        <w:top w:val="none" w:sz="0" w:space="0" w:color="auto"/>
        <w:left w:val="none" w:sz="0" w:space="0" w:color="auto"/>
        <w:bottom w:val="none" w:sz="0" w:space="0" w:color="auto"/>
        <w:right w:val="none" w:sz="0" w:space="0" w:color="auto"/>
      </w:divBdr>
      <w:divsChild>
        <w:div w:id="962464294">
          <w:marLeft w:val="720"/>
          <w:marRight w:val="0"/>
          <w:marTop w:val="0"/>
          <w:marBottom w:val="0"/>
          <w:divBdr>
            <w:top w:val="none" w:sz="0" w:space="0" w:color="auto"/>
            <w:left w:val="none" w:sz="0" w:space="0" w:color="auto"/>
            <w:bottom w:val="none" w:sz="0" w:space="0" w:color="auto"/>
            <w:right w:val="none" w:sz="0" w:space="0" w:color="auto"/>
          </w:divBdr>
        </w:div>
      </w:divsChild>
    </w:div>
    <w:div w:id="1801223683">
      <w:bodyDiv w:val="1"/>
      <w:marLeft w:val="0"/>
      <w:marRight w:val="0"/>
      <w:marTop w:val="0"/>
      <w:marBottom w:val="0"/>
      <w:divBdr>
        <w:top w:val="none" w:sz="0" w:space="0" w:color="auto"/>
        <w:left w:val="none" w:sz="0" w:space="0" w:color="auto"/>
        <w:bottom w:val="none" w:sz="0" w:space="0" w:color="auto"/>
        <w:right w:val="none" w:sz="0" w:space="0" w:color="auto"/>
      </w:divBdr>
      <w:divsChild>
        <w:div w:id="868446012">
          <w:marLeft w:val="720"/>
          <w:marRight w:val="0"/>
          <w:marTop w:val="0"/>
          <w:marBottom w:val="0"/>
          <w:divBdr>
            <w:top w:val="none" w:sz="0" w:space="0" w:color="auto"/>
            <w:left w:val="none" w:sz="0" w:space="0" w:color="auto"/>
            <w:bottom w:val="none" w:sz="0" w:space="0" w:color="auto"/>
            <w:right w:val="none" w:sz="0" w:space="0" w:color="auto"/>
          </w:divBdr>
        </w:div>
      </w:divsChild>
    </w:div>
    <w:div w:id="2097552793">
      <w:bodyDiv w:val="1"/>
      <w:marLeft w:val="0"/>
      <w:marRight w:val="0"/>
      <w:marTop w:val="0"/>
      <w:marBottom w:val="0"/>
      <w:divBdr>
        <w:top w:val="none" w:sz="0" w:space="0" w:color="auto"/>
        <w:left w:val="none" w:sz="0" w:space="0" w:color="auto"/>
        <w:bottom w:val="none" w:sz="0" w:space="0" w:color="auto"/>
        <w:right w:val="none" w:sz="0" w:space="0" w:color="auto"/>
      </w:divBdr>
      <w:divsChild>
        <w:div w:id="1312757094">
          <w:marLeft w:val="720"/>
          <w:marRight w:val="0"/>
          <w:marTop w:val="0"/>
          <w:marBottom w:val="0"/>
          <w:divBdr>
            <w:top w:val="none" w:sz="0" w:space="0" w:color="auto"/>
            <w:left w:val="none" w:sz="0" w:space="0" w:color="auto"/>
            <w:bottom w:val="none" w:sz="0" w:space="0" w:color="auto"/>
            <w:right w:val="none" w:sz="0" w:space="0" w:color="auto"/>
          </w:divBdr>
        </w:div>
      </w:divsChild>
    </w:div>
    <w:div w:id="2114082177">
      <w:bodyDiv w:val="1"/>
      <w:marLeft w:val="0"/>
      <w:marRight w:val="0"/>
      <w:marTop w:val="0"/>
      <w:marBottom w:val="0"/>
      <w:divBdr>
        <w:top w:val="none" w:sz="0" w:space="0" w:color="auto"/>
        <w:left w:val="none" w:sz="0" w:space="0" w:color="auto"/>
        <w:bottom w:val="none" w:sz="0" w:space="0" w:color="auto"/>
        <w:right w:val="none" w:sz="0" w:space="0" w:color="auto"/>
      </w:divBdr>
      <w:divsChild>
        <w:div w:id="874850757">
          <w:marLeft w:val="720"/>
          <w:marRight w:val="0"/>
          <w:marTop w:val="0"/>
          <w:marBottom w:val="0"/>
          <w:divBdr>
            <w:top w:val="none" w:sz="0" w:space="0" w:color="auto"/>
            <w:left w:val="none" w:sz="0" w:space="0" w:color="auto"/>
            <w:bottom w:val="none" w:sz="0" w:space="0" w:color="auto"/>
            <w:right w:val="none" w:sz="0" w:space="0" w:color="auto"/>
          </w:divBdr>
        </w:div>
      </w:divsChild>
    </w:div>
    <w:div w:id="2115857402">
      <w:bodyDiv w:val="1"/>
      <w:marLeft w:val="0"/>
      <w:marRight w:val="0"/>
      <w:marTop w:val="0"/>
      <w:marBottom w:val="0"/>
      <w:divBdr>
        <w:top w:val="none" w:sz="0" w:space="0" w:color="auto"/>
        <w:left w:val="none" w:sz="0" w:space="0" w:color="auto"/>
        <w:bottom w:val="none" w:sz="0" w:space="0" w:color="auto"/>
        <w:right w:val="none" w:sz="0" w:space="0" w:color="auto"/>
      </w:divBdr>
      <w:divsChild>
        <w:div w:id="661472881">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b2212@columbia.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ec-churches.org/news_brief/news_brief_main.htm" TargetMode="External"/><Relationship Id="rId1" Type="http://schemas.openxmlformats.org/officeDocument/2006/relationships/hyperlink" Target="http://www.mec-church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LITO</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mcb</cp:lastModifiedBy>
  <cp:revision>11</cp:revision>
  <cp:lastPrinted>2011-01-11T16:10:00Z</cp:lastPrinted>
  <dcterms:created xsi:type="dcterms:W3CDTF">2011-04-23T19:00:00Z</dcterms:created>
  <dcterms:modified xsi:type="dcterms:W3CDTF">2011-04-23T19:56:00Z</dcterms:modified>
</cp:coreProperties>
</file>